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889CD" w14:textId="508CA557" w:rsidR="00E659EB" w:rsidRPr="00317AB3" w:rsidRDefault="007C3956" w:rsidP="00674952">
      <w:pPr>
        <w:pStyle w:val="NoSpacing"/>
        <w:jc w:val="center"/>
        <w:rPr>
          <w:rFonts w:ascii="Palatino Linotype" w:hAnsi="Palatino Linotype"/>
          <w:b/>
          <w:sz w:val="22"/>
          <w:szCs w:val="22"/>
        </w:rPr>
      </w:pPr>
      <w:r w:rsidRPr="00317AB3">
        <w:rPr>
          <w:rFonts w:ascii="Palatino Linotype" w:hAnsi="Palatino Linotype"/>
          <w:b/>
          <w:sz w:val="22"/>
          <w:szCs w:val="22"/>
        </w:rPr>
        <w:t>Hebrew University &amp; University of Essex Surveillance Workshop Series</w:t>
      </w:r>
    </w:p>
    <w:p w14:paraId="65B9011D" w14:textId="105BDC3C" w:rsidR="00674952" w:rsidRPr="00317AB3" w:rsidRDefault="00674952" w:rsidP="00674952">
      <w:pPr>
        <w:pStyle w:val="NoSpacing"/>
        <w:jc w:val="center"/>
        <w:rPr>
          <w:rFonts w:ascii="Palatino Linotype" w:hAnsi="Palatino Linotype"/>
          <w:sz w:val="22"/>
          <w:szCs w:val="22"/>
        </w:rPr>
      </w:pPr>
      <w:r w:rsidRPr="00317AB3">
        <w:rPr>
          <w:rFonts w:ascii="Palatino Linotype" w:hAnsi="Palatino Linotype"/>
          <w:sz w:val="22"/>
          <w:szCs w:val="22"/>
        </w:rPr>
        <w:t>Workshop 1 – Necessity and Proportionality</w:t>
      </w:r>
    </w:p>
    <w:p w14:paraId="13005F7C" w14:textId="0D13F644" w:rsidR="00674952" w:rsidRPr="00317AB3" w:rsidRDefault="00BB45F8" w:rsidP="00674952">
      <w:pPr>
        <w:pStyle w:val="NoSpacing"/>
        <w:jc w:val="center"/>
        <w:rPr>
          <w:rFonts w:ascii="Palatino Linotype" w:hAnsi="Palatino Linotype"/>
          <w:sz w:val="22"/>
          <w:szCs w:val="22"/>
        </w:rPr>
      </w:pPr>
      <w:r w:rsidRPr="00317AB3">
        <w:rPr>
          <w:rFonts w:ascii="Palatino Linotype" w:hAnsi="Palatino Linotype"/>
          <w:sz w:val="22"/>
          <w:szCs w:val="22"/>
        </w:rPr>
        <w:t xml:space="preserve">Overview of </w:t>
      </w:r>
      <w:r w:rsidR="00674952" w:rsidRPr="00317AB3">
        <w:rPr>
          <w:rFonts w:ascii="Palatino Linotype" w:hAnsi="Palatino Linotype"/>
          <w:sz w:val="22"/>
          <w:szCs w:val="22"/>
        </w:rPr>
        <w:t>Questions to be addressed</w:t>
      </w:r>
    </w:p>
    <w:p w14:paraId="2F1CA883" w14:textId="77777777" w:rsidR="00674952" w:rsidRPr="00317AB3" w:rsidRDefault="00674952" w:rsidP="00674952">
      <w:pPr>
        <w:pStyle w:val="NoSpacing"/>
        <w:jc w:val="center"/>
        <w:rPr>
          <w:rFonts w:ascii="Palatino Linotype" w:hAnsi="Palatino Linotype"/>
          <w:sz w:val="22"/>
          <w:szCs w:val="22"/>
        </w:rPr>
      </w:pPr>
    </w:p>
    <w:p w14:paraId="6B49F4A8" w14:textId="7AF020B3" w:rsidR="00D011D1" w:rsidRPr="00317AB3" w:rsidRDefault="00674952" w:rsidP="00674952">
      <w:pPr>
        <w:pStyle w:val="NoSpacing"/>
        <w:jc w:val="both"/>
        <w:rPr>
          <w:rFonts w:ascii="Palatino Linotype" w:hAnsi="Palatino Linotype"/>
          <w:sz w:val="22"/>
          <w:szCs w:val="22"/>
        </w:rPr>
      </w:pPr>
      <w:r w:rsidRPr="00317AB3">
        <w:rPr>
          <w:rFonts w:ascii="Palatino Linotype" w:hAnsi="Palatino Linotype"/>
          <w:sz w:val="22"/>
          <w:szCs w:val="22"/>
        </w:rPr>
        <w:t>The purpose of this workshop is to examine the necessity and proportionality tests established by international human rights law to the surveillance powers established under the UK Investigatory Powers Act 2016. A key – although not exclusive – focus are large-scale or bulk powers.</w:t>
      </w:r>
      <w:r w:rsidR="00D011D1" w:rsidRPr="00317AB3">
        <w:rPr>
          <w:rFonts w:ascii="Palatino Linotype" w:hAnsi="Palatino Linotype"/>
          <w:sz w:val="22"/>
          <w:szCs w:val="22"/>
        </w:rPr>
        <w:t xml:space="preserve"> </w:t>
      </w:r>
      <w:r w:rsidR="006002CD" w:rsidRPr="00317AB3">
        <w:rPr>
          <w:rFonts w:ascii="Palatino Linotype" w:hAnsi="Palatino Linotype"/>
          <w:sz w:val="22"/>
          <w:szCs w:val="22"/>
        </w:rPr>
        <w:t>The following illustrative and non-exhaustive questions</w:t>
      </w:r>
      <w:r w:rsidR="00D011D1" w:rsidRPr="00317AB3">
        <w:rPr>
          <w:rFonts w:ascii="Palatino Linotype" w:hAnsi="Palatino Linotype"/>
          <w:sz w:val="22"/>
          <w:szCs w:val="22"/>
        </w:rPr>
        <w:t xml:space="preserve"> have been prepared as a guide to the day, and the issues to be discussed.</w:t>
      </w:r>
    </w:p>
    <w:p w14:paraId="79125AA8" w14:textId="4CA4B7A5" w:rsidR="00B848B6" w:rsidRPr="00317AB3" w:rsidRDefault="00B848B6" w:rsidP="00674952">
      <w:pPr>
        <w:pStyle w:val="NoSpacing"/>
        <w:jc w:val="both"/>
        <w:rPr>
          <w:rFonts w:ascii="Palatino Linotype" w:hAnsi="Palatino Linotype"/>
          <w:sz w:val="22"/>
          <w:szCs w:val="22"/>
        </w:rPr>
      </w:pPr>
      <w:r w:rsidRPr="00317AB3">
        <w:rPr>
          <w:rFonts w:ascii="Palatino Linotype" w:hAnsi="Palatino Linotype"/>
          <w:sz w:val="22"/>
          <w:szCs w:val="22"/>
        </w:rPr>
        <w:br/>
        <w:t>The meeting will be held under</w:t>
      </w:r>
      <w:r w:rsidR="00864680" w:rsidRPr="00317AB3">
        <w:rPr>
          <w:rFonts w:ascii="Palatino Linotype" w:hAnsi="Palatino Linotype"/>
          <w:sz w:val="22"/>
          <w:szCs w:val="22"/>
        </w:rPr>
        <w:t xml:space="preserve"> the Chatham House rule</w:t>
      </w:r>
      <w:r w:rsidRPr="00317AB3">
        <w:rPr>
          <w:rFonts w:ascii="Palatino Linotype" w:hAnsi="Palatino Linotype"/>
          <w:sz w:val="22"/>
          <w:szCs w:val="22"/>
        </w:rPr>
        <w:t>.</w:t>
      </w:r>
      <w:r w:rsidR="006002CD" w:rsidRPr="00317AB3">
        <w:rPr>
          <w:rFonts w:ascii="Palatino Linotype" w:hAnsi="Palatino Linotype"/>
          <w:sz w:val="22"/>
          <w:szCs w:val="22"/>
        </w:rPr>
        <w:t xml:space="preserve"> </w:t>
      </w:r>
    </w:p>
    <w:p w14:paraId="6A4BB0F6" w14:textId="77777777" w:rsidR="00674952" w:rsidRPr="00317AB3" w:rsidRDefault="00674952" w:rsidP="00674952">
      <w:pPr>
        <w:pStyle w:val="NoSpacing"/>
        <w:jc w:val="both"/>
        <w:rPr>
          <w:rFonts w:ascii="Palatino Linotype" w:hAnsi="Palatino Linotype"/>
          <w:sz w:val="22"/>
          <w:szCs w:val="22"/>
        </w:rPr>
      </w:pPr>
    </w:p>
    <w:p w14:paraId="3B13C55E" w14:textId="4229FAB7" w:rsidR="00F74CEA" w:rsidRPr="00317AB3" w:rsidRDefault="00674952" w:rsidP="00F74CEA">
      <w:pPr>
        <w:pStyle w:val="NoSpacing"/>
        <w:jc w:val="both"/>
        <w:rPr>
          <w:rFonts w:ascii="Palatino Linotype" w:hAnsi="Palatino Linotype"/>
          <w:b/>
          <w:sz w:val="22"/>
          <w:szCs w:val="22"/>
        </w:rPr>
      </w:pPr>
      <w:r w:rsidRPr="00317AB3">
        <w:rPr>
          <w:rFonts w:ascii="Palatino Linotype" w:hAnsi="Palatino Linotype"/>
          <w:b/>
          <w:sz w:val="22"/>
          <w:szCs w:val="22"/>
        </w:rPr>
        <w:t>Questions to be addressed</w:t>
      </w:r>
      <w:r w:rsidR="00F74CEA" w:rsidRPr="00317AB3">
        <w:rPr>
          <w:rFonts w:ascii="Palatino Linotype" w:hAnsi="Palatino Linotype"/>
          <w:b/>
          <w:sz w:val="22"/>
          <w:szCs w:val="22"/>
        </w:rPr>
        <w:t xml:space="preserve"> regarding the human rights tests applied</w:t>
      </w:r>
      <w:r w:rsidRPr="00317AB3">
        <w:rPr>
          <w:rFonts w:ascii="Palatino Linotype" w:hAnsi="Palatino Linotype"/>
          <w:b/>
          <w:sz w:val="22"/>
          <w:szCs w:val="22"/>
        </w:rPr>
        <w:t>:</w:t>
      </w:r>
    </w:p>
    <w:p w14:paraId="55D69E06" w14:textId="3B7B0FEB" w:rsidR="009D065B" w:rsidRDefault="009D065B" w:rsidP="00674952">
      <w:pPr>
        <w:pStyle w:val="NoSpacing"/>
        <w:numPr>
          <w:ilvl w:val="0"/>
          <w:numId w:val="1"/>
        </w:numPr>
        <w:jc w:val="both"/>
        <w:rPr>
          <w:rFonts w:ascii="Palatino Linotype" w:hAnsi="Palatino Linotype"/>
          <w:sz w:val="22"/>
          <w:szCs w:val="22"/>
        </w:rPr>
      </w:pPr>
      <w:r>
        <w:rPr>
          <w:rFonts w:ascii="Palatino Linotype" w:hAnsi="Palatino Linotype"/>
          <w:sz w:val="22"/>
          <w:szCs w:val="22"/>
        </w:rPr>
        <w:t>How should necessity be evaluated in the context of the Investigatory Powers Act?</w:t>
      </w:r>
    </w:p>
    <w:p w14:paraId="72302151" w14:textId="30AC5AB0" w:rsidR="009D065B" w:rsidRDefault="009D065B" w:rsidP="009D065B">
      <w:pPr>
        <w:pStyle w:val="NoSpacing"/>
        <w:numPr>
          <w:ilvl w:val="1"/>
          <w:numId w:val="1"/>
        </w:numPr>
        <w:jc w:val="both"/>
        <w:rPr>
          <w:rFonts w:ascii="Palatino Linotype" w:hAnsi="Palatino Linotype"/>
          <w:sz w:val="22"/>
          <w:szCs w:val="22"/>
        </w:rPr>
      </w:pPr>
      <w:r>
        <w:rPr>
          <w:rFonts w:ascii="Palatino Linotype" w:hAnsi="Palatino Linotype"/>
          <w:sz w:val="22"/>
          <w:szCs w:val="22"/>
        </w:rPr>
        <w:t>In particular, how to determine what techniques, and in relation to what categories of activities, are necessary in a democratic society.</w:t>
      </w:r>
    </w:p>
    <w:p w14:paraId="388A675E" w14:textId="3C6581DD" w:rsidR="009D065B" w:rsidRDefault="009D065B" w:rsidP="009D065B">
      <w:pPr>
        <w:pStyle w:val="NoSpacing"/>
        <w:numPr>
          <w:ilvl w:val="1"/>
          <w:numId w:val="1"/>
        </w:numPr>
        <w:jc w:val="both"/>
        <w:rPr>
          <w:rFonts w:ascii="Palatino Linotype" w:hAnsi="Palatino Linotype"/>
          <w:sz w:val="22"/>
          <w:szCs w:val="22"/>
        </w:rPr>
      </w:pPr>
      <w:r>
        <w:rPr>
          <w:rFonts w:ascii="Palatino Linotype" w:hAnsi="Palatino Linotype"/>
          <w:sz w:val="22"/>
          <w:szCs w:val="22"/>
        </w:rPr>
        <w:t>What means are available to evaluate the professed utility of a specific investigatory power?</w:t>
      </w:r>
    </w:p>
    <w:p w14:paraId="1D33D4E7" w14:textId="0363CCE2" w:rsidR="009D065B" w:rsidRDefault="009D065B" w:rsidP="009D065B">
      <w:pPr>
        <w:pStyle w:val="NoSpacing"/>
        <w:numPr>
          <w:ilvl w:val="1"/>
          <w:numId w:val="1"/>
        </w:numPr>
        <w:jc w:val="both"/>
        <w:rPr>
          <w:rFonts w:ascii="Palatino Linotype" w:hAnsi="Palatino Linotype"/>
          <w:sz w:val="22"/>
          <w:szCs w:val="22"/>
        </w:rPr>
      </w:pPr>
      <w:r>
        <w:rPr>
          <w:rFonts w:ascii="Palatino Linotype" w:hAnsi="Palatino Linotype"/>
          <w:sz w:val="22"/>
          <w:szCs w:val="22"/>
        </w:rPr>
        <w:t>What means are available to circumscribe the scope of individuals who are caught up in a technique, i.e. collateral intrusion.</w:t>
      </w:r>
      <w:bookmarkStart w:id="0" w:name="_GoBack"/>
      <w:bookmarkEnd w:id="0"/>
    </w:p>
    <w:p w14:paraId="01AEC91F" w14:textId="2A50EDAA" w:rsidR="00674952" w:rsidRPr="00317AB3" w:rsidRDefault="00674952" w:rsidP="00674952">
      <w:pPr>
        <w:pStyle w:val="NoSpacing"/>
        <w:numPr>
          <w:ilvl w:val="0"/>
          <w:numId w:val="1"/>
        </w:numPr>
        <w:jc w:val="both"/>
        <w:rPr>
          <w:rFonts w:ascii="Palatino Linotype" w:hAnsi="Palatino Linotype"/>
          <w:sz w:val="22"/>
          <w:szCs w:val="22"/>
        </w:rPr>
      </w:pPr>
      <w:r w:rsidRPr="00317AB3">
        <w:rPr>
          <w:rFonts w:ascii="Palatino Linotype" w:hAnsi="Palatino Linotype"/>
          <w:sz w:val="22"/>
          <w:szCs w:val="22"/>
        </w:rPr>
        <w:t>W</w:t>
      </w:r>
      <w:r w:rsidR="00864680" w:rsidRPr="00317AB3">
        <w:rPr>
          <w:rFonts w:ascii="Palatino Linotype" w:hAnsi="Palatino Linotype"/>
          <w:sz w:val="22"/>
          <w:szCs w:val="22"/>
        </w:rPr>
        <w:t>hat is meant by the term ‘strictly necessary in a democratic society’</w:t>
      </w:r>
      <w:r w:rsidRPr="00317AB3">
        <w:rPr>
          <w:rFonts w:ascii="Palatino Linotype" w:hAnsi="Palatino Linotype"/>
          <w:sz w:val="22"/>
          <w:szCs w:val="22"/>
        </w:rPr>
        <w:t xml:space="preserve">, as applied to secret surveillance techniques in, for example, </w:t>
      </w:r>
      <w:proofErr w:type="spellStart"/>
      <w:r w:rsidRPr="00317AB3">
        <w:rPr>
          <w:rFonts w:ascii="Palatino Linotype" w:hAnsi="Palatino Linotype"/>
          <w:i/>
          <w:sz w:val="22"/>
          <w:szCs w:val="22"/>
        </w:rPr>
        <w:t>Szasbo</w:t>
      </w:r>
      <w:proofErr w:type="spellEnd"/>
      <w:r w:rsidRPr="00317AB3">
        <w:rPr>
          <w:rFonts w:ascii="Palatino Linotype" w:hAnsi="Palatino Linotype"/>
          <w:i/>
          <w:sz w:val="22"/>
          <w:szCs w:val="22"/>
        </w:rPr>
        <w:t xml:space="preserve"> and </w:t>
      </w:r>
      <w:proofErr w:type="spellStart"/>
      <w:r w:rsidRPr="00317AB3">
        <w:rPr>
          <w:rFonts w:ascii="Palatino Linotype" w:hAnsi="Palatino Linotype"/>
          <w:i/>
          <w:sz w:val="22"/>
          <w:szCs w:val="22"/>
        </w:rPr>
        <w:t>Vissy</w:t>
      </w:r>
      <w:proofErr w:type="spellEnd"/>
      <w:r w:rsidRPr="00317AB3">
        <w:rPr>
          <w:rFonts w:ascii="Palatino Linotype" w:hAnsi="Palatino Linotype"/>
          <w:i/>
          <w:sz w:val="22"/>
          <w:szCs w:val="22"/>
        </w:rPr>
        <w:t xml:space="preserve"> </w:t>
      </w:r>
      <w:r w:rsidRPr="00317AB3">
        <w:rPr>
          <w:rFonts w:ascii="Palatino Linotype" w:hAnsi="Palatino Linotype"/>
          <w:sz w:val="22"/>
          <w:szCs w:val="22"/>
        </w:rPr>
        <w:t xml:space="preserve">and </w:t>
      </w:r>
      <w:r w:rsidRPr="00317AB3">
        <w:rPr>
          <w:rFonts w:ascii="Palatino Linotype" w:hAnsi="Palatino Linotype"/>
          <w:i/>
          <w:sz w:val="22"/>
          <w:szCs w:val="22"/>
        </w:rPr>
        <w:t xml:space="preserve">Digital </w:t>
      </w:r>
      <w:r w:rsidR="00B848B6" w:rsidRPr="00317AB3">
        <w:rPr>
          <w:rFonts w:ascii="Palatino Linotype" w:hAnsi="Palatino Linotype"/>
          <w:i/>
          <w:sz w:val="22"/>
          <w:szCs w:val="22"/>
        </w:rPr>
        <w:t>Rights</w:t>
      </w:r>
      <w:r w:rsidRPr="00317AB3">
        <w:rPr>
          <w:rFonts w:ascii="Palatino Linotype" w:hAnsi="Palatino Linotype"/>
          <w:i/>
          <w:sz w:val="22"/>
          <w:szCs w:val="22"/>
        </w:rPr>
        <w:t xml:space="preserve"> Ireland Ltd.</w:t>
      </w:r>
    </w:p>
    <w:p w14:paraId="73815B6E" w14:textId="5628DF7B" w:rsidR="00D011D1" w:rsidRPr="00317AB3" w:rsidRDefault="00B848B6" w:rsidP="00D011D1">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Do these</w:t>
      </w:r>
      <w:r w:rsidR="00D011D1" w:rsidRPr="00317AB3">
        <w:rPr>
          <w:rFonts w:ascii="Palatino Linotype" w:hAnsi="Palatino Linotype"/>
          <w:sz w:val="22"/>
          <w:szCs w:val="22"/>
        </w:rPr>
        <w:t xml:space="preserve"> measures, and the understanding as to what constitutes ‘strict necessity’</w:t>
      </w:r>
      <w:r w:rsidRPr="00317AB3">
        <w:rPr>
          <w:rFonts w:ascii="Palatino Linotype" w:hAnsi="Palatino Linotype"/>
          <w:sz w:val="22"/>
          <w:szCs w:val="22"/>
        </w:rPr>
        <w:t>,</w:t>
      </w:r>
      <w:r w:rsidR="00D011D1" w:rsidRPr="00317AB3">
        <w:rPr>
          <w:rFonts w:ascii="Palatino Linotype" w:hAnsi="Palatino Linotype"/>
          <w:sz w:val="22"/>
          <w:szCs w:val="22"/>
        </w:rPr>
        <w:t xml:space="preserve"> apply to both content data and communications data?</w:t>
      </w:r>
    </w:p>
    <w:p w14:paraId="2DE49C77" w14:textId="7E34B7D7" w:rsidR="0020349B" w:rsidRPr="00317AB3" w:rsidRDefault="0020349B" w:rsidP="00D011D1">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How does the ‘strict necessity’ test fit with the necessity/proportionality test established in the Investigatory Powers Act</w:t>
      </w:r>
    </w:p>
    <w:p w14:paraId="7DBA6267" w14:textId="6EFB361E" w:rsidR="00864680" w:rsidRDefault="00864680" w:rsidP="00D011D1">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 xml:space="preserve">Do all potentially legitimate aims (i.e. with respect to Article 8: national security, public safety, economic well-being of the State, prevention of disorder or crime, protection of health or morals, or protection of rights or freedoms of others) fit within a strict necessity test. </w:t>
      </w:r>
    </w:p>
    <w:p w14:paraId="26922B53" w14:textId="3BF46B79" w:rsidR="00674952" w:rsidRPr="00317AB3" w:rsidRDefault="00DC6FEA" w:rsidP="00674952">
      <w:pPr>
        <w:pStyle w:val="NoSpacing"/>
        <w:numPr>
          <w:ilvl w:val="0"/>
          <w:numId w:val="1"/>
        </w:numPr>
        <w:jc w:val="both"/>
        <w:rPr>
          <w:rFonts w:ascii="Palatino Linotype" w:hAnsi="Palatino Linotype"/>
          <w:sz w:val="22"/>
          <w:szCs w:val="22"/>
        </w:rPr>
      </w:pPr>
      <w:r w:rsidRPr="00317AB3">
        <w:rPr>
          <w:rFonts w:ascii="Palatino Linotype" w:hAnsi="Palatino Linotype"/>
          <w:sz w:val="22"/>
          <w:szCs w:val="22"/>
        </w:rPr>
        <w:t>How should the requirement that, in order to satisfy strict necessity, a measure be strictly necessary to obtain ‘vital intelligence in an individual operation’ be interpreted?</w:t>
      </w:r>
    </w:p>
    <w:p w14:paraId="328EBC4A" w14:textId="0C45CED7" w:rsidR="00201BF2" w:rsidRPr="00317AB3" w:rsidRDefault="00201BF2" w:rsidP="00201BF2">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Is it possible to demonstrate the vital nature of a particular technique?</w:t>
      </w:r>
    </w:p>
    <w:p w14:paraId="54103172" w14:textId="1E593562" w:rsidR="00201BF2" w:rsidRPr="00317AB3" w:rsidRDefault="00201BF2" w:rsidP="00201BF2">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Should the understanding of ‘vital’ be equated to lack of reasonable alternative means?</w:t>
      </w:r>
      <w:r w:rsidR="00F74CEA" w:rsidRPr="00317AB3">
        <w:rPr>
          <w:rStyle w:val="FootnoteReference"/>
          <w:rFonts w:ascii="Palatino Linotype" w:hAnsi="Palatino Linotype"/>
          <w:sz w:val="22"/>
          <w:szCs w:val="22"/>
        </w:rPr>
        <w:footnoteReference w:id="1"/>
      </w:r>
    </w:p>
    <w:p w14:paraId="06EE355E" w14:textId="26AF4BDD" w:rsidR="00D011D1" w:rsidRPr="00317AB3" w:rsidRDefault="00D011D1" w:rsidP="00D011D1">
      <w:pPr>
        <w:pStyle w:val="NoSpacing"/>
        <w:numPr>
          <w:ilvl w:val="0"/>
          <w:numId w:val="1"/>
        </w:numPr>
        <w:jc w:val="both"/>
        <w:rPr>
          <w:rFonts w:ascii="Palatino Linotype" w:hAnsi="Palatino Linotype"/>
          <w:sz w:val="22"/>
          <w:szCs w:val="22"/>
        </w:rPr>
      </w:pPr>
      <w:r w:rsidRPr="00317AB3">
        <w:rPr>
          <w:rFonts w:ascii="Palatino Linotype" w:hAnsi="Palatino Linotype"/>
          <w:sz w:val="22"/>
          <w:szCs w:val="22"/>
        </w:rPr>
        <w:t>What is the relationship between necessity/strict necessity and proportionality?</w:t>
      </w:r>
    </w:p>
    <w:p w14:paraId="341BB9AF" w14:textId="1293C1B5" w:rsidR="00D011D1" w:rsidRPr="00317AB3" w:rsidRDefault="00D011D1" w:rsidP="00D011D1">
      <w:pPr>
        <w:pStyle w:val="NoSpacing"/>
        <w:numPr>
          <w:ilvl w:val="0"/>
          <w:numId w:val="1"/>
        </w:numPr>
        <w:jc w:val="both"/>
        <w:rPr>
          <w:rFonts w:ascii="Palatino Linotype" w:hAnsi="Palatino Linotype"/>
          <w:sz w:val="22"/>
          <w:szCs w:val="22"/>
        </w:rPr>
      </w:pPr>
      <w:r w:rsidRPr="00317AB3">
        <w:rPr>
          <w:rFonts w:ascii="Palatino Linotype" w:hAnsi="Palatino Linotype"/>
          <w:sz w:val="22"/>
          <w:szCs w:val="22"/>
        </w:rPr>
        <w:t>What are the factors brought into play during the proportionality assessment?</w:t>
      </w:r>
    </w:p>
    <w:p w14:paraId="497AE690" w14:textId="28C18345" w:rsidR="00D011D1" w:rsidRPr="00317AB3" w:rsidRDefault="00D011D1" w:rsidP="00D011D1">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i.e. what rights are brought into play, on both sides of the proportionality equation.</w:t>
      </w:r>
      <w:r w:rsidR="0020349B" w:rsidRPr="00317AB3">
        <w:rPr>
          <w:rFonts w:ascii="Palatino Linotype" w:hAnsi="Palatino Linotype"/>
          <w:sz w:val="22"/>
          <w:szCs w:val="22"/>
        </w:rPr>
        <w:t xml:space="preserve"> </w:t>
      </w:r>
      <w:proofErr w:type="gramStart"/>
      <w:r w:rsidR="0020349B" w:rsidRPr="00317AB3">
        <w:rPr>
          <w:rFonts w:ascii="Palatino Linotype" w:hAnsi="Palatino Linotype"/>
          <w:sz w:val="22"/>
          <w:szCs w:val="22"/>
        </w:rPr>
        <w:t>Typically</w:t>
      </w:r>
      <w:proofErr w:type="gramEnd"/>
      <w:r w:rsidR="0020349B" w:rsidRPr="00317AB3">
        <w:rPr>
          <w:rFonts w:ascii="Palatino Linotype" w:hAnsi="Palatino Linotype"/>
          <w:sz w:val="22"/>
          <w:szCs w:val="22"/>
        </w:rPr>
        <w:t xml:space="preserve"> discussion focuses on privacy, is this appropriate?</w:t>
      </w:r>
    </w:p>
    <w:p w14:paraId="485F35C2" w14:textId="4FC4C95A" w:rsidR="00D011D1" w:rsidRPr="00317AB3" w:rsidRDefault="00D011D1" w:rsidP="00D011D1">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 xml:space="preserve">How can the potential impact on these rights evaluated? This is particularly relevant in relation to interferences with rights that may exert a broad, or societal </w:t>
      </w:r>
      <w:r w:rsidRPr="00317AB3">
        <w:rPr>
          <w:rFonts w:ascii="Palatino Linotype" w:hAnsi="Palatino Linotype"/>
          <w:sz w:val="22"/>
          <w:szCs w:val="22"/>
        </w:rPr>
        <w:lastRenderedPageBreak/>
        <w:t>level, impact, such as rights that may affect the functioning of a participatory democracy.</w:t>
      </w:r>
    </w:p>
    <w:p w14:paraId="7EF6E787" w14:textId="65AED43C" w:rsidR="00B848B6" w:rsidRPr="00317AB3" w:rsidRDefault="00B848B6" w:rsidP="00D011D1">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Are access restrictions relevant to the proportionality test? i.e. can rights-based harm be mitigated by stricter access controls?</w:t>
      </w:r>
    </w:p>
    <w:p w14:paraId="247CF15B" w14:textId="61A878F0" w:rsidR="00E522D5" w:rsidRPr="00317AB3" w:rsidRDefault="00E522D5" w:rsidP="00E522D5">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How do safeguards and remedies affect the proportionality analysis?</w:t>
      </w:r>
    </w:p>
    <w:p w14:paraId="2E778AC7" w14:textId="77777777" w:rsidR="00F74CEA" w:rsidRPr="00317AB3" w:rsidRDefault="00F74CEA" w:rsidP="00F74CEA">
      <w:pPr>
        <w:pStyle w:val="NoSpacing"/>
        <w:jc w:val="both"/>
        <w:rPr>
          <w:rFonts w:ascii="Palatino Linotype" w:hAnsi="Palatino Linotype"/>
          <w:sz w:val="22"/>
          <w:szCs w:val="22"/>
        </w:rPr>
      </w:pPr>
    </w:p>
    <w:p w14:paraId="5F8420A3" w14:textId="0A95B38A" w:rsidR="00F74CEA" w:rsidRPr="00317AB3" w:rsidRDefault="00F74CEA" w:rsidP="00F74CEA">
      <w:pPr>
        <w:pStyle w:val="NoSpacing"/>
        <w:jc w:val="both"/>
        <w:rPr>
          <w:rFonts w:ascii="Palatino Linotype" w:hAnsi="Palatino Linotype"/>
          <w:b/>
          <w:sz w:val="22"/>
          <w:szCs w:val="22"/>
        </w:rPr>
      </w:pPr>
      <w:r w:rsidRPr="00317AB3">
        <w:rPr>
          <w:rFonts w:ascii="Palatino Linotype" w:hAnsi="Palatino Linotype"/>
          <w:b/>
          <w:sz w:val="22"/>
          <w:szCs w:val="22"/>
        </w:rPr>
        <w:t>Questions to be addressed regarding how the human rights tests are applied, in specific circumstances</w:t>
      </w:r>
    </w:p>
    <w:p w14:paraId="51AFF09F" w14:textId="119D9550" w:rsidR="00B848B6" w:rsidRPr="00317AB3" w:rsidRDefault="00B848B6" w:rsidP="00B848B6">
      <w:pPr>
        <w:pStyle w:val="NoSpacing"/>
        <w:numPr>
          <w:ilvl w:val="0"/>
          <w:numId w:val="1"/>
        </w:numPr>
        <w:jc w:val="both"/>
        <w:rPr>
          <w:rFonts w:ascii="Palatino Linotype" w:hAnsi="Palatino Linotype"/>
          <w:sz w:val="22"/>
          <w:szCs w:val="22"/>
        </w:rPr>
      </w:pPr>
      <w:r w:rsidRPr="00317AB3">
        <w:rPr>
          <w:rFonts w:ascii="Palatino Linotype" w:hAnsi="Palatino Linotype"/>
          <w:sz w:val="22"/>
          <w:szCs w:val="22"/>
        </w:rPr>
        <w:t>What is to be understood by ‘serious crime’, noting</w:t>
      </w:r>
      <w:r w:rsidR="00CE4DC3" w:rsidRPr="00317AB3">
        <w:rPr>
          <w:rFonts w:ascii="Palatino Linotype" w:hAnsi="Palatino Linotype"/>
          <w:sz w:val="22"/>
          <w:szCs w:val="22"/>
        </w:rPr>
        <w:t xml:space="preserve">, </w:t>
      </w:r>
      <w:r w:rsidR="00CE4DC3" w:rsidRPr="00317AB3">
        <w:rPr>
          <w:rFonts w:ascii="Palatino Linotype" w:hAnsi="Palatino Linotype"/>
          <w:i/>
          <w:sz w:val="22"/>
          <w:szCs w:val="22"/>
        </w:rPr>
        <w:t>inter alia</w:t>
      </w:r>
      <w:r w:rsidR="00CE4DC3" w:rsidRPr="00317AB3">
        <w:rPr>
          <w:rFonts w:ascii="Palatino Linotype" w:hAnsi="Palatino Linotype"/>
          <w:sz w:val="22"/>
          <w:szCs w:val="22"/>
        </w:rPr>
        <w:t>,</w:t>
      </w:r>
      <w:r w:rsidRPr="00317AB3">
        <w:rPr>
          <w:rFonts w:ascii="Palatino Linotype" w:hAnsi="Palatino Linotype"/>
          <w:sz w:val="22"/>
          <w:szCs w:val="22"/>
        </w:rPr>
        <w:t xml:space="preserve"> the </w:t>
      </w:r>
      <w:r w:rsidR="00CE4DC3" w:rsidRPr="00317AB3">
        <w:rPr>
          <w:rFonts w:ascii="Palatino Linotype" w:hAnsi="Palatino Linotype"/>
          <w:sz w:val="22"/>
          <w:szCs w:val="22"/>
        </w:rPr>
        <w:t xml:space="preserve">Court of Justice of the European Union’s statement that ‘only the fight against serious crime is capable of justifying’ retention of communications data. See, </w:t>
      </w:r>
      <w:r w:rsidR="00CE4DC3" w:rsidRPr="00317AB3">
        <w:rPr>
          <w:rFonts w:ascii="Palatino Linotype" w:hAnsi="Palatino Linotype"/>
          <w:i/>
          <w:sz w:val="22"/>
          <w:szCs w:val="22"/>
        </w:rPr>
        <w:t>Tele2</w:t>
      </w:r>
      <w:r w:rsidR="00CE4DC3" w:rsidRPr="00317AB3">
        <w:rPr>
          <w:rFonts w:ascii="Palatino Linotype" w:hAnsi="Palatino Linotype"/>
          <w:sz w:val="22"/>
          <w:szCs w:val="22"/>
        </w:rPr>
        <w:t>, para. 102.</w:t>
      </w:r>
    </w:p>
    <w:p w14:paraId="2DD7336E" w14:textId="4AF3FBC8" w:rsidR="007E4762" w:rsidRPr="00317AB3" w:rsidRDefault="007E4762" w:rsidP="007E4762">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Is it possible to identify specific crimes, or categories of crimes?</w:t>
      </w:r>
    </w:p>
    <w:p w14:paraId="7403FC74" w14:textId="190C037D" w:rsidR="00674952" w:rsidRPr="00317AB3" w:rsidRDefault="00776B6F" w:rsidP="006002CD">
      <w:pPr>
        <w:pStyle w:val="NoSpacing"/>
        <w:numPr>
          <w:ilvl w:val="0"/>
          <w:numId w:val="1"/>
        </w:numPr>
        <w:jc w:val="both"/>
        <w:rPr>
          <w:rFonts w:ascii="Palatino Linotype" w:hAnsi="Palatino Linotype"/>
          <w:sz w:val="22"/>
          <w:szCs w:val="22"/>
        </w:rPr>
      </w:pPr>
      <w:r w:rsidRPr="00317AB3">
        <w:rPr>
          <w:rFonts w:ascii="Palatino Linotype" w:hAnsi="Palatino Linotype"/>
          <w:sz w:val="22"/>
          <w:szCs w:val="22"/>
        </w:rPr>
        <w:t>In the context of bulk interception, h</w:t>
      </w:r>
      <w:r w:rsidR="007E4762" w:rsidRPr="00317AB3">
        <w:rPr>
          <w:rFonts w:ascii="Palatino Linotype" w:hAnsi="Palatino Linotype"/>
          <w:sz w:val="22"/>
          <w:szCs w:val="22"/>
        </w:rPr>
        <w:t>ow should the tests discussed apply to automated ‘selectors’ (i.e. searches used to filter results) as distinct from human analysis.</w:t>
      </w:r>
      <w:r w:rsidRPr="00317AB3">
        <w:rPr>
          <w:rFonts w:ascii="Palatino Linotype" w:hAnsi="Palatino Linotype"/>
          <w:sz w:val="22"/>
          <w:szCs w:val="22"/>
        </w:rPr>
        <w:t xml:space="preserve"> </w:t>
      </w:r>
    </w:p>
    <w:p w14:paraId="4D92EFF2" w14:textId="6AA6B562" w:rsidR="00776B6F" w:rsidRPr="00317AB3" w:rsidRDefault="00776B6F" w:rsidP="00776B6F">
      <w:pPr>
        <w:pStyle w:val="NoSpacing"/>
        <w:numPr>
          <w:ilvl w:val="1"/>
          <w:numId w:val="1"/>
        </w:numPr>
        <w:jc w:val="both"/>
        <w:rPr>
          <w:rFonts w:ascii="Palatino Linotype" w:hAnsi="Palatino Linotype"/>
          <w:sz w:val="22"/>
          <w:szCs w:val="22"/>
        </w:rPr>
      </w:pPr>
      <w:r w:rsidRPr="00317AB3">
        <w:rPr>
          <w:rFonts w:ascii="Palatino Linotype" w:hAnsi="Palatino Linotype"/>
          <w:sz w:val="22"/>
          <w:szCs w:val="22"/>
        </w:rPr>
        <w:t>In general, should distinct tests be applied to automated v. human analysis?</w:t>
      </w:r>
    </w:p>
    <w:sectPr w:rsidR="00776B6F" w:rsidRPr="00317AB3" w:rsidSect="004A14AC">
      <w:headerReference w:type="default" r:id="rId8"/>
      <w:footerReference w:type="even"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F8DDB" w14:textId="77777777" w:rsidR="00057D15" w:rsidRDefault="00057D15" w:rsidP="00201BF2">
      <w:r>
        <w:separator/>
      </w:r>
    </w:p>
  </w:endnote>
  <w:endnote w:type="continuationSeparator" w:id="0">
    <w:p w14:paraId="76420DC3" w14:textId="77777777" w:rsidR="00057D15" w:rsidRDefault="00057D15" w:rsidP="00201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IN-Next-W01-Light">
    <w:altName w:val="Times New Roman"/>
    <w:panose1 w:val="020B0604020202020204"/>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6223160"/>
      <w:docPartObj>
        <w:docPartGallery w:val="Page Numbers (Bottom of Page)"/>
        <w:docPartUnique/>
      </w:docPartObj>
    </w:sdtPr>
    <w:sdtEndPr>
      <w:rPr>
        <w:rStyle w:val="PageNumber"/>
      </w:rPr>
    </w:sdtEndPr>
    <w:sdtContent>
      <w:p w14:paraId="436853D6" w14:textId="042AB3F1" w:rsidR="00201BF2" w:rsidRDefault="00201BF2" w:rsidP="00E240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995BED" w14:textId="77777777" w:rsidR="00201BF2" w:rsidRDefault="00201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7880799"/>
      <w:docPartObj>
        <w:docPartGallery w:val="Page Numbers (Bottom of Page)"/>
        <w:docPartUnique/>
      </w:docPartObj>
    </w:sdtPr>
    <w:sdtEndPr>
      <w:rPr>
        <w:rStyle w:val="PageNumber"/>
      </w:rPr>
    </w:sdtEndPr>
    <w:sdtContent>
      <w:p w14:paraId="13972EEF" w14:textId="1A2C5A3E" w:rsidR="00201BF2" w:rsidRDefault="00201BF2" w:rsidP="00E240F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6B0B186" w14:textId="77777777" w:rsidR="00201BF2" w:rsidRDefault="00201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EE36F" w14:textId="77777777" w:rsidR="00057D15" w:rsidRDefault="00057D15" w:rsidP="00201BF2">
      <w:r>
        <w:separator/>
      </w:r>
    </w:p>
  </w:footnote>
  <w:footnote w:type="continuationSeparator" w:id="0">
    <w:p w14:paraId="5FCAE260" w14:textId="77777777" w:rsidR="00057D15" w:rsidRDefault="00057D15" w:rsidP="00201BF2">
      <w:r>
        <w:continuationSeparator/>
      </w:r>
    </w:p>
  </w:footnote>
  <w:footnote w:id="1">
    <w:p w14:paraId="5F61A62C" w14:textId="697AFE38" w:rsidR="00F74CEA" w:rsidRDefault="00F74CEA">
      <w:pPr>
        <w:pStyle w:val="FootnoteText"/>
      </w:pPr>
      <w:r>
        <w:rPr>
          <w:rStyle w:val="FootnoteReference"/>
        </w:rPr>
        <w:footnoteRef/>
      </w:r>
      <w:r>
        <w:t xml:space="preserve"> The concept of alternative means is reflected, to a certain degree, in the Investigatory Powers Act 2016; e.g. s.(2)(2)(a): “The public authority must have regard to […] (a) whether what is sought to be achieved could reasonably be achieved by other less intrusive means”.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AA77E" w14:textId="02ABA1EB" w:rsidR="007C3956" w:rsidRDefault="00BB45F8" w:rsidP="007C3956">
    <w:pPr>
      <w:pStyle w:val="Header"/>
      <w:tabs>
        <w:tab w:val="clear" w:pos="4513"/>
        <w:tab w:val="clear" w:pos="9026"/>
        <w:tab w:val="center" w:pos="4510"/>
        <w:tab w:val="right" w:pos="9020"/>
      </w:tabs>
      <w:rPr>
        <w:rFonts w:ascii="DIN-Next-W01-Light" w:hAnsi="DIN-Next-W01-Light"/>
        <w:color w:val="AEAEAE"/>
        <w:sz w:val="28"/>
        <w:szCs w:val="28"/>
      </w:rPr>
    </w:pPr>
    <w:r>
      <w:rPr>
        <w:noProof/>
        <w:lang w:eastAsia="en-GB"/>
      </w:rPr>
      <w:drawing>
        <wp:anchor distT="0" distB="0" distL="114300" distR="114300" simplePos="0" relativeHeight="251659264" behindDoc="0" locked="0" layoutInCell="1" allowOverlap="1" wp14:anchorId="307B604E" wp14:editId="46E229AB">
          <wp:simplePos x="0" y="0"/>
          <wp:positionH relativeFrom="margin">
            <wp:posOffset>4843417</wp:posOffset>
          </wp:positionH>
          <wp:positionV relativeFrom="paragraph">
            <wp:posOffset>-238669</wp:posOffset>
          </wp:positionV>
          <wp:extent cx="1648460" cy="9144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DT - Logo final - full text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460" cy="914400"/>
                  </a:xfrm>
                  <a:prstGeom prst="rect">
                    <a:avLst/>
                  </a:prstGeom>
                </pic:spPr>
              </pic:pic>
            </a:graphicData>
          </a:graphic>
          <wp14:sizeRelH relativeFrom="page">
            <wp14:pctWidth>0</wp14:pctWidth>
          </wp14:sizeRelH>
          <wp14:sizeRelV relativeFrom="page">
            <wp14:pctHeight>0</wp14:pctHeight>
          </wp14:sizeRelV>
        </wp:anchor>
      </w:drawing>
    </w:r>
    <w:r w:rsidR="007C3956">
      <w:rPr>
        <w:noProof/>
        <w:lang w:eastAsia="en-GB"/>
      </w:rPr>
      <w:drawing>
        <wp:anchor distT="0" distB="0" distL="114300" distR="114300" simplePos="0" relativeHeight="251661312" behindDoc="1" locked="0" layoutInCell="1" allowOverlap="1" wp14:anchorId="06C036F0" wp14:editId="572DF97A">
          <wp:simplePos x="0" y="0"/>
          <wp:positionH relativeFrom="margin">
            <wp:posOffset>22316</wp:posOffset>
          </wp:positionH>
          <wp:positionV relativeFrom="page">
            <wp:posOffset>446042</wp:posOffset>
          </wp:positionV>
          <wp:extent cx="600075" cy="499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4997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007C3956">
      <w:tab/>
    </w:r>
    <w:r w:rsidR="007C3956">
      <w:rPr>
        <w:rFonts w:ascii="Arial" w:hAnsi="Arial"/>
        <w:noProof/>
        <w:color w:val="1E1E1E"/>
        <w:sz w:val="21"/>
        <w:szCs w:val="21"/>
      </w:rPr>
      <w:drawing>
        <wp:inline distT="0" distB="0" distL="0" distR="0" wp14:anchorId="0733A1AD" wp14:editId="62CE2AA9">
          <wp:extent cx="1905000" cy="438150"/>
          <wp:effectExtent l="0" t="0" r="0" b="0"/>
          <wp:docPr id="1" name="Picture 1" descr="Cyb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_Logo"/>
                  <pic:cNvPicPr>
                    <a:picLocks noChangeAspect="1" noChangeArrowheads="1"/>
                  </pic:cNvPicPr>
                </pic:nvPicPr>
                <pic:blipFill>
                  <a:blip r:embed="rId3"/>
                  <a:srcRect/>
                  <a:stretch>
                    <a:fillRect/>
                  </a:stretch>
                </pic:blipFill>
                <pic:spPr bwMode="auto">
                  <a:xfrm>
                    <a:off x="0" y="0"/>
                    <a:ext cx="1905000" cy="438150"/>
                  </a:xfrm>
                  <a:prstGeom prst="rect">
                    <a:avLst/>
                  </a:prstGeom>
                  <a:noFill/>
                  <a:ln w="9525">
                    <a:noFill/>
                    <a:miter lim="800000"/>
                    <a:headEnd/>
                    <a:tailEnd/>
                  </a:ln>
                </pic:spPr>
              </pic:pic>
            </a:graphicData>
          </a:graphic>
        </wp:inline>
      </w:drawing>
    </w:r>
    <w:r w:rsidR="007C3956">
      <w:t xml:space="preserve"> </w:t>
    </w:r>
    <w:r w:rsidR="007C3956">
      <w:rPr>
        <w:rFonts w:ascii="Arial" w:hAnsi="Arial"/>
        <w:noProof/>
        <w:color w:val="1E1E1E"/>
        <w:sz w:val="21"/>
        <w:szCs w:val="21"/>
      </w:rPr>
      <w:drawing>
        <wp:inline distT="0" distB="0" distL="0" distR="0" wp14:anchorId="7FFB4E12" wp14:editId="66EEFF73">
          <wp:extent cx="1552575" cy="514350"/>
          <wp:effectExtent l="0" t="0" r="0" b="0"/>
          <wp:docPr id="2" name="Picture 2" descr="Huj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ji_Logo"/>
                  <pic:cNvPicPr>
                    <a:picLocks noChangeAspect="1" noChangeArrowheads="1"/>
                  </pic:cNvPicPr>
                </pic:nvPicPr>
                <pic:blipFill>
                  <a:blip r:embed="rId4"/>
                  <a:srcRect/>
                  <a:stretch>
                    <a:fillRect/>
                  </a:stretch>
                </pic:blipFill>
                <pic:spPr bwMode="auto">
                  <a:xfrm>
                    <a:off x="0" y="0"/>
                    <a:ext cx="1552575" cy="514350"/>
                  </a:xfrm>
                  <a:prstGeom prst="rect">
                    <a:avLst/>
                  </a:prstGeom>
                  <a:noFill/>
                  <a:ln w="9525">
                    <a:noFill/>
                    <a:miter lim="800000"/>
                    <a:headEnd/>
                    <a:tailEnd/>
                  </a:ln>
                </pic:spPr>
              </pic:pic>
            </a:graphicData>
          </a:graphic>
        </wp:inline>
      </w:drawing>
    </w:r>
    <w:r w:rsidR="007C3956">
      <w:tab/>
    </w:r>
  </w:p>
  <w:p w14:paraId="2154577C" w14:textId="5E83268C" w:rsidR="007C3956" w:rsidRDefault="007C39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02095C"/>
    <w:multiLevelType w:val="hybridMultilevel"/>
    <w:tmpl w:val="A2E6C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2E1"/>
    <w:rsid w:val="0001515A"/>
    <w:rsid w:val="00026221"/>
    <w:rsid w:val="00057D15"/>
    <w:rsid w:val="0008772E"/>
    <w:rsid w:val="000A72E1"/>
    <w:rsid w:val="001C7BFF"/>
    <w:rsid w:val="001F2B27"/>
    <w:rsid w:val="00201BF2"/>
    <w:rsid w:val="0020349B"/>
    <w:rsid w:val="00317AB3"/>
    <w:rsid w:val="00414533"/>
    <w:rsid w:val="004A14AC"/>
    <w:rsid w:val="00517A29"/>
    <w:rsid w:val="006002CD"/>
    <w:rsid w:val="00674952"/>
    <w:rsid w:val="00760CDC"/>
    <w:rsid w:val="00776B6F"/>
    <w:rsid w:val="007C3956"/>
    <w:rsid w:val="007E4762"/>
    <w:rsid w:val="00864680"/>
    <w:rsid w:val="009D065B"/>
    <w:rsid w:val="009D5CCE"/>
    <w:rsid w:val="00A455E4"/>
    <w:rsid w:val="00A53E8F"/>
    <w:rsid w:val="00AA74DB"/>
    <w:rsid w:val="00B848B6"/>
    <w:rsid w:val="00BB45F8"/>
    <w:rsid w:val="00CE4DC3"/>
    <w:rsid w:val="00D011D1"/>
    <w:rsid w:val="00DC6FEA"/>
    <w:rsid w:val="00DE74EC"/>
    <w:rsid w:val="00E522D5"/>
    <w:rsid w:val="00EC5A8F"/>
    <w:rsid w:val="00F74CEA"/>
    <w:rsid w:val="00F809F0"/>
    <w:rsid w:val="00FF7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9C0774"/>
  <w14:defaultImageDpi w14:val="32767"/>
  <w15:chartTrackingRefBased/>
  <w15:docId w15:val="{46045757-E2F6-CE44-B7DF-BE4CA5382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74EC"/>
  </w:style>
  <w:style w:type="paragraph" w:styleId="Footer">
    <w:name w:val="footer"/>
    <w:basedOn w:val="Normal"/>
    <w:link w:val="FooterChar"/>
    <w:uiPriority w:val="99"/>
    <w:unhideWhenUsed/>
    <w:rsid w:val="00201BF2"/>
    <w:pPr>
      <w:tabs>
        <w:tab w:val="center" w:pos="4513"/>
        <w:tab w:val="right" w:pos="9026"/>
      </w:tabs>
    </w:pPr>
  </w:style>
  <w:style w:type="character" w:customStyle="1" w:styleId="FooterChar">
    <w:name w:val="Footer Char"/>
    <w:basedOn w:val="DefaultParagraphFont"/>
    <w:link w:val="Footer"/>
    <w:uiPriority w:val="99"/>
    <w:rsid w:val="00201BF2"/>
  </w:style>
  <w:style w:type="character" w:styleId="PageNumber">
    <w:name w:val="page number"/>
    <w:basedOn w:val="DefaultParagraphFont"/>
    <w:uiPriority w:val="99"/>
    <w:semiHidden/>
    <w:unhideWhenUsed/>
    <w:rsid w:val="00201BF2"/>
  </w:style>
  <w:style w:type="paragraph" w:styleId="FootnoteText">
    <w:name w:val="footnote text"/>
    <w:basedOn w:val="Normal"/>
    <w:link w:val="FootnoteTextChar"/>
    <w:uiPriority w:val="99"/>
    <w:semiHidden/>
    <w:unhideWhenUsed/>
    <w:rsid w:val="00F74CEA"/>
    <w:rPr>
      <w:sz w:val="20"/>
      <w:szCs w:val="20"/>
    </w:rPr>
  </w:style>
  <w:style w:type="character" w:customStyle="1" w:styleId="FootnoteTextChar">
    <w:name w:val="Footnote Text Char"/>
    <w:basedOn w:val="DefaultParagraphFont"/>
    <w:link w:val="FootnoteText"/>
    <w:uiPriority w:val="99"/>
    <w:semiHidden/>
    <w:rsid w:val="00F74CEA"/>
    <w:rPr>
      <w:sz w:val="20"/>
      <w:szCs w:val="20"/>
    </w:rPr>
  </w:style>
  <w:style w:type="character" w:styleId="FootnoteReference">
    <w:name w:val="footnote reference"/>
    <w:basedOn w:val="DefaultParagraphFont"/>
    <w:uiPriority w:val="99"/>
    <w:semiHidden/>
    <w:unhideWhenUsed/>
    <w:rsid w:val="00F74CEA"/>
    <w:rPr>
      <w:vertAlign w:val="superscript"/>
    </w:rPr>
  </w:style>
  <w:style w:type="paragraph" w:styleId="Header">
    <w:name w:val="header"/>
    <w:basedOn w:val="Normal"/>
    <w:link w:val="HeaderChar"/>
    <w:uiPriority w:val="99"/>
    <w:unhideWhenUsed/>
    <w:rsid w:val="007C3956"/>
    <w:pPr>
      <w:tabs>
        <w:tab w:val="center" w:pos="4513"/>
        <w:tab w:val="right" w:pos="9026"/>
      </w:tabs>
    </w:pPr>
  </w:style>
  <w:style w:type="character" w:customStyle="1" w:styleId="HeaderChar">
    <w:name w:val="Header Char"/>
    <w:basedOn w:val="DefaultParagraphFont"/>
    <w:link w:val="Header"/>
    <w:uiPriority w:val="99"/>
    <w:rsid w:val="007C3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80976-FA02-494F-9E2A-D8972A11C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daragh murray</dc:creator>
  <cp:keywords/>
  <dc:description/>
  <cp:lastModifiedBy>daragh murray</cp:lastModifiedBy>
  <cp:revision>5</cp:revision>
  <dcterms:created xsi:type="dcterms:W3CDTF">2018-02-20T16:04:00Z</dcterms:created>
  <dcterms:modified xsi:type="dcterms:W3CDTF">2018-04-11T08:38:00Z</dcterms:modified>
</cp:coreProperties>
</file>