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ED825" w14:textId="77777777" w:rsidR="002511F7" w:rsidRPr="00E72711" w:rsidRDefault="009627CB" w:rsidP="009627CB">
      <w:pPr>
        <w:bidi/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E72711">
        <w:rPr>
          <w:rFonts w:ascii="David" w:hAnsi="David" w:cs="David" w:hint="cs"/>
          <w:b/>
          <w:bCs/>
          <w:sz w:val="24"/>
          <w:szCs w:val="24"/>
          <w:rtl/>
        </w:rPr>
        <w:t xml:space="preserve">תקציר </w:t>
      </w:r>
      <w:r w:rsidR="0014652F" w:rsidRPr="00E72711">
        <w:rPr>
          <w:rFonts w:ascii="David" w:hAnsi="David" w:cs="David"/>
          <w:b/>
          <w:bCs/>
          <w:sz w:val="24"/>
          <w:szCs w:val="24"/>
          <w:rtl/>
        </w:rPr>
        <w:t>הצע</w:t>
      </w:r>
      <w:r w:rsidRPr="00E72711">
        <w:rPr>
          <w:rFonts w:ascii="David" w:hAnsi="David" w:cs="David" w:hint="cs"/>
          <w:b/>
          <w:bCs/>
          <w:sz w:val="24"/>
          <w:szCs w:val="24"/>
          <w:rtl/>
        </w:rPr>
        <w:t xml:space="preserve">ת מחקר: פשעי סייבר בבית הדין הפלילי הבינלאומי </w:t>
      </w:r>
      <w:r w:rsidRPr="00E72711">
        <w:rPr>
          <w:rFonts w:ascii="David" w:hAnsi="David" w:cs="David"/>
          <w:b/>
          <w:bCs/>
          <w:sz w:val="24"/>
          <w:szCs w:val="24"/>
          <w:rtl/>
        </w:rPr>
        <w:t>–</w:t>
      </w:r>
      <w:r w:rsidRPr="00E72711">
        <w:rPr>
          <w:rFonts w:ascii="David" w:hAnsi="David" w:cs="David" w:hint="cs"/>
          <w:b/>
          <w:bCs/>
          <w:sz w:val="24"/>
          <w:szCs w:val="24"/>
          <w:rtl/>
        </w:rPr>
        <w:t xml:space="preserve"> המצוי והראוי</w:t>
      </w:r>
    </w:p>
    <w:p w14:paraId="016F3DF6" w14:textId="5E0EB2AE" w:rsidR="002B43C6" w:rsidRPr="00E72711" w:rsidRDefault="009627CB" w:rsidP="00E72711">
      <w:pPr>
        <w:bidi/>
        <w:spacing w:line="240" w:lineRule="auto"/>
        <w:jc w:val="center"/>
        <w:rPr>
          <w:rFonts w:ascii="David" w:hAnsi="David" w:cs="David"/>
          <w:b/>
          <w:bCs/>
          <w:sz w:val="24"/>
          <w:szCs w:val="24"/>
        </w:rPr>
      </w:pPr>
      <w:r w:rsidRPr="00E72711">
        <w:rPr>
          <w:rFonts w:ascii="Arial" w:hAnsi="Arial" w:cs="Arial" w:hint="cs"/>
          <w:b/>
          <w:bCs/>
          <w:sz w:val="24"/>
          <w:szCs w:val="24"/>
          <w:rtl/>
        </w:rPr>
        <w:t>עדי</w:t>
      </w:r>
      <w:r w:rsidRPr="00E7271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72711">
        <w:rPr>
          <w:rFonts w:ascii="Arial" w:hAnsi="Arial" w:cs="Arial" w:hint="cs"/>
          <w:b/>
          <w:bCs/>
          <w:sz w:val="24"/>
          <w:szCs w:val="24"/>
          <w:rtl/>
        </w:rPr>
        <w:t>ליבסקר</w:t>
      </w:r>
      <w:r w:rsidR="00E72711" w:rsidRPr="00E72711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E72711" w:rsidRPr="00E72711">
        <w:rPr>
          <w:rFonts w:ascii="Arial" w:hAnsi="Arial" w:cs="Arial" w:hint="cs"/>
          <w:b/>
          <w:bCs/>
          <w:sz w:val="24"/>
          <w:szCs w:val="24"/>
          <w:rtl/>
        </w:rPr>
        <w:t>חזות</w:t>
      </w:r>
    </w:p>
    <w:p w14:paraId="1C8692C8" w14:textId="0181064D" w:rsidR="002B43C6" w:rsidRPr="001C263A" w:rsidRDefault="002B43C6" w:rsidP="001C263A">
      <w:pPr>
        <w:pStyle w:val="a"/>
        <w:bidi w:val="0"/>
        <w:ind w:firstLine="0"/>
        <w:jc w:val="center"/>
        <w:rPr>
          <w:rFonts w:asciiTheme="minorHAnsi" w:hAnsiTheme="minorHAnsi" w:cstheme="minorHAnsi"/>
          <w:b/>
          <w:bCs/>
        </w:rPr>
      </w:pPr>
      <w:r w:rsidRPr="001C263A">
        <w:rPr>
          <w:rFonts w:asciiTheme="minorHAnsi" w:hAnsiTheme="minorHAnsi" w:cstheme="minorHAnsi"/>
          <w:b/>
          <w:bCs/>
          <w:lang w:bidi="ar-SA"/>
        </w:rPr>
        <w:t xml:space="preserve">Cyber-crimes in the International Criminal Court: what is and what </w:t>
      </w:r>
      <w:r w:rsidR="001C263A" w:rsidRPr="001C263A">
        <w:rPr>
          <w:rFonts w:asciiTheme="minorHAnsi" w:hAnsiTheme="minorHAnsi" w:cstheme="minorHAnsi"/>
          <w:b/>
          <w:bCs/>
        </w:rPr>
        <w:t>ought</w:t>
      </w:r>
      <w:r w:rsidR="00454951">
        <w:rPr>
          <w:rFonts w:asciiTheme="minorHAnsi" w:hAnsiTheme="minorHAnsi" w:cstheme="minorHAnsi"/>
          <w:b/>
          <w:bCs/>
        </w:rPr>
        <w:t xml:space="preserve"> to be</w:t>
      </w:r>
    </w:p>
    <w:p w14:paraId="6817FF8D" w14:textId="1BAF502E" w:rsidR="001C263A" w:rsidRPr="001C263A" w:rsidRDefault="001C263A" w:rsidP="001C263A">
      <w:pPr>
        <w:pStyle w:val="a"/>
        <w:bidi w:val="0"/>
        <w:ind w:firstLine="0"/>
        <w:jc w:val="center"/>
        <w:rPr>
          <w:rFonts w:asciiTheme="minorHAnsi" w:hAnsiTheme="minorHAnsi" w:cstheme="minorHAnsi"/>
          <w:b/>
          <w:bCs/>
        </w:rPr>
      </w:pPr>
      <w:r w:rsidRPr="001C263A">
        <w:rPr>
          <w:rFonts w:asciiTheme="minorHAnsi" w:hAnsiTheme="minorHAnsi" w:cstheme="minorHAnsi"/>
          <w:b/>
          <w:bCs/>
        </w:rPr>
        <w:t xml:space="preserve">Adi </w:t>
      </w:r>
      <w:proofErr w:type="spellStart"/>
      <w:r w:rsidRPr="001C263A">
        <w:rPr>
          <w:rFonts w:asciiTheme="minorHAnsi" w:hAnsiTheme="minorHAnsi" w:cstheme="minorHAnsi"/>
          <w:b/>
          <w:bCs/>
        </w:rPr>
        <w:t>Libsker</w:t>
      </w:r>
      <w:proofErr w:type="spellEnd"/>
      <w:r w:rsidR="00E72711">
        <w:rPr>
          <w:rFonts w:asciiTheme="minorHAnsi" w:hAnsiTheme="minorHAnsi" w:cstheme="minorHAnsi"/>
          <w:b/>
          <w:bCs/>
        </w:rPr>
        <w:t>-Hazut</w:t>
      </w:r>
    </w:p>
    <w:p w14:paraId="7CBF55C2" w14:textId="77777777" w:rsidR="002B43C6" w:rsidRDefault="002B43C6" w:rsidP="002B43C6">
      <w:pPr>
        <w:pStyle w:val="a"/>
        <w:bidi w:val="0"/>
        <w:ind w:firstLine="0"/>
        <w:rPr>
          <w:rFonts w:asciiTheme="minorHAnsi" w:hAnsiTheme="minorHAnsi" w:cstheme="minorHAnsi"/>
          <w:lang w:bidi="ar-SA"/>
        </w:rPr>
      </w:pPr>
    </w:p>
    <w:p w14:paraId="728181B0" w14:textId="02457E59" w:rsidR="00FD792F" w:rsidRDefault="00FD792F" w:rsidP="000F1C41">
      <w:pPr>
        <w:pStyle w:val="a"/>
        <w:bidi w:val="0"/>
        <w:rPr>
          <w:rFonts w:asciiTheme="minorHAnsi" w:hAnsiTheme="minorHAnsi" w:cstheme="minorHAnsi"/>
          <w:lang w:bidi="ar-SA"/>
        </w:rPr>
      </w:pPr>
      <w:r w:rsidRPr="00FD792F">
        <w:rPr>
          <w:rFonts w:asciiTheme="minorHAnsi" w:hAnsiTheme="minorHAnsi" w:cstheme="minorHAnsi"/>
          <w:lang w:bidi="ar-SA"/>
        </w:rPr>
        <w:t xml:space="preserve">In the decades that passed </w:t>
      </w:r>
      <w:r w:rsidR="00803C2D">
        <w:rPr>
          <w:rFonts w:asciiTheme="minorHAnsi" w:hAnsiTheme="minorHAnsi" w:cstheme="minorHAnsi"/>
          <w:lang w:bidi="ar-SA"/>
        </w:rPr>
        <w:t>since</w:t>
      </w:r>
      <w:r w:rsidR="00803C2D" w:rsidRPr="00FD792F">
        <w:rPr>
          <w:rFonts w:asciiTheme="minorHAnsi" w:hAnsiTheme="minorHAnsi" w:cstheme="minorHAnsi"/>
          <w:lang w:bidi="ar-SA"/>
        </w:rPr>
        <w:t xml:space="preserve"> </w:t>
      </w:r>
      <w:r w:rsidRPr="00FD792F">
        <w:rPr>
          <w:rFonts w:asciiTheme="minorHAnsi" w:hAnsiTheme="minorHAnsi" w:cstheme="minorHAnsi"/>
          <w:lang w:bidi="ar-SA"/>
        </w:rPr>
        <w:t>World War II, significant developments have t</w:t>
      </w:r>
      <w:r>
        <w:rPr>
          <w:rFonts w:asciiTheme="minorHAnsi" w:hAnsiTheme="minorHAnsi" w:cstheme="minorHAnsi"/>
          <w:lang w:bidi="ar-SA"/>
        </w:rPr>
        <w:t xml:space="preserve">aken place in international law. </w:t>
      </w:r>
      <w:r w:rsidRPr="00FD792F">
        <w:rPr>
          <w:rFonts w:asciiTheme="minorHAnsi" w:hAnsiTheme="minorHAnsi" w:cstheme="minorHAnsi"/>
          <w:lang w:bidi="ar-SA"/>
        </w:rPr>
        <w:t>The main developments</w:t>
      </w:r>
      <w:r w:rsidR="00690F55">
        <w:rPr>
          <w:rFonts w:asciiTheme="minorHAnsi" w:hAnsiTheme="minorHAnsi" w:cstheme="minorHAnsi"/>
          <w:lang w:bidi="ar-SA"/>
        </w:rPr>
        <w:t xml:space="preserve"> are the establishment of the tribunals</w:t>
      </w:r>
      <w:r w:rsidRPr="00FD792F">
        <w:rPr>
          <w:rFonts w:asciiTheme="minorHAnsi" w:hAnsiTheme="minorHAnsi" w:cstheme="minorHAnsi"/>
          <w:lang w:bidi="ar-SA"/>
        </w:rPr>
        <w:t xml:space="preserve"> </w:t>
      </w:r>
      <w:r w:rsidR="0010471D">
        <w:rPr>
          <w:rFonts w:asciiTheme="minorHAnsi" w:hAnsiTheme="minorHAnsi" w:cstheme="minorHAnsi"/>
          <w:lang w:bidi="ar-SA"/>
        </w:rPr>
        <w:t>in Nuremberg and Tokyo</w:t>
      </w:r>
      <w:r w:rsidRPr="00FD792F">
        <w:rPr>
          <w:rFonts w:asciiTheme="minorHAnsi" w:hAnsiTheme="minorHAnsi" w:cstheme="minorHAnsi"/>
          <w:lang w:bidi="ar-SA"/>
        </w:rPr>
        <w:t>, t</w:t>
      </w:r>
      <w:r w:rsidR="00171D62">
        <w:rPr>
          <w:rFonts w:asciiTheme="minorHAnsi" w:hAnsiTheme="minorHAnsi" w:cstheme="minorHAnsi"/>
          <w:lang w:bidi="ar-SA"/>
        </w:rPr>
        <w:t>he Geneva Convention and its</w:t>
      </w:r>
      <w:r w:rsidRPr="00FD792F">
        <w:rPr>
          <w:rFonts w:asciiTheme="minorHAnsi" w:hAnsiTheme="minorHAnsi" w:cstheme="minorHAnsi"/>
          <w:lang w:bidi="ar-SA"/>
        </w:rPr>
        <w:t xml:space="preserve"> complementary protocols</w:t>
      </w:r>
      <w:r w:rsidR="00803C2D">
        <w:rPr>
          <w:rFonts w:asciiTheme="minorHAnsi" w:hAnsiTheme="minorHAnsi" w:cstheme="minorHAnsi"/>
          <w:lang w:bidi="ar-SA"/>
        </w:rPr>
        <w:t>,</w:t>
      </w:r>
      <w:r w:rsidRPr="00FD792F">
        <w:rPr>
          <w:rFonts w:asciiTheme="minorHAnsi" w:hAnsiTheme="minorHAnsi" w:cstheme="minorHAnsi"/>
          <w:lang w:bidi="ar-SA"/>
        </w:rPr>
        <w:t xml:space="preserve"> and </w:t>
      </w:r>
      <w:r w:rsidR="00690F55">
        <w:rPr>
          <w:rFonts w:asciiTheme="minorHAnsi" w:hAnsiTheme="minorHAnsi" w:cstheme="minorHAnsi"/>
          <w:lang w:bidi="ar-SA"/>
        </w:rPr>
        <w:t>the establishment of the tribunal</w:t>
      </w:r>
      <w:r w:rsidRPr="00FD792F">
        <w:rPr>
          <w:rFonts w:asciiTheme="minorHAnsi" w:hAnsiTheme="minorHAnsi" w:cstheme="minorHAnsi"/>
          <w:lang w:bidi="ar-SA"/>
        </w:rPr>
        <w:t xml:space="preserve"> for the prosecution of war crimes in Yugoslavia and Rwanda. </w:t>
      </w:r>
      <w:r w:rsidR="00171D62">
        <w:rPr>
          <w:rFonts w:asciiTheme="minorHAnsi" w:hAnsiTheme="minorHAnsi" w:cstheme="minorHAnsi"/>
          <w:lang w:bidi="ar-SA"/>
        </w:rPr>
        <w:t>Very often</w:t>
      </w:r>
      <w:r w:rsidR="00803C2D">
        <w:rPr>
          <w:rFonts w:asciiTheme="minorHAnsi" w:hAnsiTheme="minorHAnsi" w:cstheme="minorHAnsi"/>
          <w:lang w:bidi="ar-SA"/>
        </w:rPr>
        <w:t>,</w:t>
      </w:r>
      <w:r w:rsidR="00171D62">
        <w:rPr>
          <w:rFonts w:asciiTheme="minorHAnsi" w:hAnsiTheme="minorHAnsi" w:cstheme="minorHAnsi"/>
          <w:lang w:bidi="ar-SA"/>
        </w:rPr>
        <w:t xml:space="preserve"> norms </w:t>
      </w:r>
      <w:r w:rsidR="0020256F">
        <w:rPr>
          <w:rFonts w:asciiTheme="minorHAnsi" w:hAnsiTheme="minorHAnsi" w:cstheme="minorHAnsi"/>
          <w:lang w:bidi="ar-SA"/>
        </w:rPr>
        <w:t xml:space="preserve">are </w:t>
      </w:r>
      <w:r w:rsidR="00171D62">
        <w:rPr>
          <w:rFonts w:asciiTheme="minorHAnsi" w:hAnsiTheme="minorHAnsi" w:cstheme="minorHAnsi"/>
          <w:lang w:bidi="ar-SA"/>
        </w:rPr>
        <w:t xml:space="preserve">applied </w:t>
      </w:r>
      <w:r w:rsidR="00E37183">
        <w:rPr>
          <w:rFonts w:asciiTheme="minorHAnsi" w:hAnsiTheme="minorHAnsi" w:cstheme="minorHAnsi"/>
          <w:lang w:bidi="ar-SA"/>
        </w:rPr>
        <w:t>retroactively in</w:t>
      </w:r>
      <w:r w:rsidR="0020256F">
        <w:rPr>
          <w:rFonts w:asciiTheme="minorHAnsi" w:hAnsiTheme="minorHAnsi" w:cstheme="minorHAnsi"/>
          <w:lang w:bidi="ar-SA"/>
        </w:rPr>
        <w:t xml:space="preserve"> </w:t>
      </w:r>
      <w:r w:rsidR="00171D62">
        <w:rPr>
          <w:rFonts w:asciiTheme="minorHAnsi" w:hAnsiTheme="minorHAnsi" w:cstheme="minorHAnsi"/>
          <w:lang w:bidi="ar-SA"/>
        </w:rPr>
        <w:t xml:space="preserve">the prosecution of war criminals at those tribunals. </w:t>
      </w:r>
      <w:r w:rsidRPr="00FD792F">
        <w:rPr>
          <w:rFonts w:asciiTheme="minorHAnsi" w:hAnsiTheme="minorHAnsi" w:cstheme="minorHAnsi"/>
          <w:lang w:bidi="ar-SA"/>
        </w:rPr>
        <w:t xml:space="preserve">As a result, the courts </w:t>
      </w:r>
      <w:r w:rsidR="00171D62">
        <w:rPr>
          <w:rFonts w:asciiTheme="minorHAnsi" w:hAnsiTheme="minorHAnsi" w:cstheme="minorHAnsi"/>
          <w:lang w:bidi="ar-SA"/>
        </w:rPr>
        <w:t>had to find</w:t>
      </w:r>
      <w:r w:rsidRPr="00FD792F">
        <w:rPr>
          <w:rFonts w:asciiTheme="minorHAnsi" w:hAnsiTheme="minorHAnsi" w:cstheme="minorHAnsi"/>
          <w:lang w:bidi="ar-SA"/>
        </w:rPr>
        <w:t xml:space="preserve"> various justifications for violating the principle of legality, namely, </w:t>
      </w:r>
      <w:r w:rsidR="005968CB">
        <w:rPr>
          <w:rFonts w:asciiTheme="minorHAnsi" w:hAnsiTheme="minorHAnsi" w:cstheme="minorHAnsi"/>
          <w:lang w:bidi="ar-SA"/>
        </w:rPr>
        <w:t xml:space="preserve">the </w:t>
      </w:r>
      <w:r w:rsidR="005968CB" w:rsidRPr="005968CB">
        <w:rPr>
          <w:rFonts w:asciiTheme="minorHAnsi" w:hAnsiTheme="minorHAnsi" w:cstheme="minorHAnsi"/>
          <w:lang w:bidi="ar-SA"/>
        </w:rPr>
        <w:t xml:space="preserve">imposition of criminal sanctions </w:t>
      </w:r>
      <w:r w:rsidR="008E7254" w:rsidRPr="00E37183">
        <w:rPr>
          <w:rFonts w:asciiTheme="minorHAnsi" w:hAnsiTheme="minorHAnsi" w:cstheme="minorHAnsi"/>
          <w:lang w:bidi="ar-SA"/>
        </w:rPr>
        <w:t>on</w:t>
      </w:r>
      <w:r w:rsidR="005968CB" w:rsidRPr="005968CB">
        <w:rPr>
          <w:rFonts w:asciiTheme="minorHAnsi" w:hAnsiTheme="minorHAnsi" w:cstheme="minorHAnsi"/>
          <w:lang w:bidi="ar-SA"/>
        </w:rPr>
        <w:t xml:space="preserve"> acts that were not criminal </w:t>
      </w:r>
      <w:r w:rsidR="005968CB">
        <w:rPr>
          <w:rFonts w:asciiTheme="minorHAnsi" w:hAnsiTheme="minorHAnsi" w:cstheme="minorHAnsi"/>
          <w:lang w:bidi="ar-SA"/>
        </w:rPr>
        <w:t xml:space="preserve">at the time </w:t>
      </w:r>
      <w:r w:rsidR="00DD49E7">
        <w:rPr>
          <w:rFonts w:asciiTheme="minorHAnsi" w:hAnsiTheme="minorHAnsi" w:cstheme="minorHAnsi"/>
          <w:lang w:bidi="ar-SA"/>
        </w:rPr>
        <w:t xml:space="preserve">they </w:t>
      </w:r>
      <w:r w:rsidR="00E37183">
        <w:rPr>
          <w:rFonts w:asciiTheme="minorHAnsi" w:hAnsiTheme="minorHAnsi" w:cstheme="minorHAnsi"/>
          <w:lang w:bidi="ar-SA"/>
        </w:rPr>
        <w:t>were committed</w:t>
      </w:r>
      <w:r w:rsidR="005968CB">
        <w:rPr>
          <w:rFonts w:asciiTheme="minorHAnsi" w:hAnsiTheme="minorHAnsi" w:cstheme="minorHAnsi"/>
          <w:lang w:bidi="ar-SA"/>
        </w:rPr>
        <w:t>.</w:t>
      </w:r>
    </w:p>
    <w:p w14:paraId="1385A016" w14:textId="128FD473" w:rsidR="00517A58" w:rsidRDefault="00517A58" w:rsidP="000F1C41">
      <w:pPr>
        <w:pStyle w:val="a"/>
        <w:ind w:firstLine="0"/>
        <w:rPr>
          <w:rFonts w:ascii="David" w:hAnsi="David"/>
          <w:rtl/>
        </w:rPr>
      </w:pPr>
    </w:p>
    <w:p w14:paraId="160DAF1C" w14:textId="77777777" w:rsidR="00B154D1" w:rsidRDefault="00DA4C2A" w:rsidP="00B154D1">
      <w:pPr>
        <w:pStyle w:val="a"/>
        <w:bidi w:val="0"/>
        <w:rPr>
          <w:rFonts w:asciiTheme="minorHAnsi" w:hAnsiTheme="minorHAnsi" w:cstheme="minorHAnsi"/>
        </w:rPr>
      </w:pPr>
      <w:r w:rsidRPr="00DA4C2A">
        <w:rPr>
          <w:rFonts w:asciiTheme="minorHAnsi" w:hAnsiTheme="minorHAnsi" w:cstheme="minorHAnsi"/>
        </w:rPr>
        <w:t xml:space="preserve">On July 17, 1998, at the end of a </w:t>
      </w:r>
      <w:r w:rsidRPr="001435F9">
        <w:rPr>
          <w:rFonts w:asciiTheme="minorHAnsi" w:hAnsiTheme="minorHAnsi" w:cstheme="minorHAnsi"/>
        </w:rPr>
        <w:t>month of deliberations,</w:t>
      </w:r>
      <w:r w:rsidRPr="00DA4C2A">
        <w:rPr>
          <w:rFonts w:asciiTheme="minorHAnsi" w:hAnsiTheme="minorHAnsi" w:cstheme="minorHAnsi"/>
        </w:rPr>
        <w:t xml:space="preserve"> 120 countries ratified the </w:t>
      </w:r>
      <w:r w:rsidR="00D651D0">
        <w:rPr>
          <w:rFonts w:asciiTheme="minorHAnsi" w:hAnsiTheme="minorHAnsi" w:cstheme="minorHAnsi"/>
        </w:rPr>
        <w:t>treaty</w:t>
      </w:r>
      <w:r w:rsidRPr="00DA4C2A">
        <w:rPr>
          <w:rFonts w:asciiTheme="minorHAnsi" w:hAnsiTheme="minorHAnsi" w:cstheme="minorHAnsi"/>
        </w:rPr>
        <w:t xml:space="preserve"> of the International Criminal Court (</w:t>
      </w:r>
      <w:r>
        <w:rPr>
          <w:rFonts w:asciiTheme="minorHAnsi" w:hAnsiTheme="minorHAnsi" w:cstheme="minorHAnsi"/>
        </w:rPr>
        <w:t>also known as the "Rome Statute</w:t>
      </w:r>
      <w:r w:rsidRPr="00DA4C2A">
        <w:rPr>
          <w:rFonts w:asciiTheme="minorHAnsi" w:hAnsiTheme="minorHAnsi" w:cstheme="minorHAnsi"/>
        </w:rPr>
        <w:t>")</w:t>
      </w:r>
      <w:r>
        <w:rPr>
          <w:rFonts w:asciiTheme="minorHAnsi" w:hAnsiTheme="minorHAnsi" w:cstheme="minorHAnsi"/>
        </w:rPr>
        <w:t>.</w:t>
      </w:r>
      <w:r w:rsidRPr="00DA4C2A">
        <w:rPr>
          <w:rFonts w:asciiTheme="minorHAnsi" w:hAnsiTheme="minorHAnsi" w:cstheme="minorHAnsi"/>
        </w:rPr>
        <w:t xml:space="preserve"> On July 1, 2002, </w:t>
      </w:r>
      <w:r>
        <w:rPr>
          <w:rFonts w:asciiTheme="minorHAnsi" w:hAnsiTheme="minorHAnsi" w:cstheme="minorHAnsi"/>
        </w:rPr>
        <w:t xml:space="preserve">following </w:t>
      </w:r>
      <w:r w:rsidRPr="00D651D0">
        <w:rPr>
          <w:rFonts w:asciiTheme="minorHAnsi" w:hAnsiTheme="minorHAnsi" w:cstheme="minorHAnsi"/>
        </w:rPr>
        <w:t>the UN resolution, the court's</w:t>
      </w:r>
      <w:r>
        <w:rPr>
          <w:rFonts w:asciiTheme="minorHAnsi" w:hAnsiTheme="minorHAnsi" w:cstheme="minorHAnsi"/>
        </w:rPr>
        <w:t xml:space="preserve"> constitution came into force, </w:t>
      </w:r>
      <w:r w:rsidRPr="00DA4C2A">
        <w:rPr>
          <w:rFonts w:asciiTheme="minorHAnsi" w:hAnsiTheme="minorHAnsi" w:cstheme="minorHAnsi"/>
        </w:rPr>
        <w:t xml:space="preserve">and for the first time in the history of international </w:t>
      </w:r>
      <w:r w:rsidR="00D651D0" w:rsidRPr="00DA4C2A">
        <w:rPr>
          <w:rFonts w:asciiTheme="minorHAnsi" w:hAnsiTheme="minorHAnsi" w:cstheme="minorHAnsi"/>
        </w:rPr>
        <w:t>law,</w:t>
      </w:r>
      <w:r w:rsidRPr="00DA4C2A">
        <w:rPr>
          <w:rFonts w:asciiTheme="minorHAnsi" w:hAnsiTheme="minorHAnsi" w:cstheme="minorHAnsi"/>
        </w:rPr>
        <w:t xml:space="preserve"> </w:t>
      </w:r>
      <w:r w:rsidR="000F1C41">
        <w:rPr>
          <w:rFonts w:asciiTheme="minorHAnsi" w:hAnsiTheme="minorHAnsi" w:cstheme="minorHAnsi"/>
        </w:rPr>
        <w:t xml:space="preserve">the international community founded a </w:t>
      </w:r>
      <w:r w:rsidR="00D651D0">
        <w:rPr>
          <w:rFonts w:asciiTheme="minorHAnsi" w:hAnsiTheme="minorHAnsi" w:cstheme="minorHAnsi"/>
        </w:rPr>
        <w:t xml:space="preserve">permanent International </w:t>
      </w:r>
      <w:r w:rsidR="000F1C41">
        <w:rPr>
          <w:rFonts w:asciiTheme="minorHAnsi" w:hAnsiTheme="minorHAnsi" w:cstheme="minorHAnsi"/>
        </w:rPr>
        <w:t>Criminal Court</w:t>
      </w:r>
      <w:r w:rsidR="00D651D0">
        <w:rPr>
          <w:rFonts w:asciiTheme="minorHAnsi" w:hAnsiTheme="minorHAnsi" w:cstheme="minorHAnsi"/>
        </w:rPr>
        <w:t>.</w:t>
      </w:r>
    </w:p>
    <w:p w14:paraId="701B343F" w14:textId="77777777" w:rsidR="00B154D1" w:rsidRDefault="00B154D1" w:rsidP="00B154D1">
      <w:pPr>
        <w:pStyle w:val="a"/>
        <w:bidi w:val="0"/>
        <w:rPr>
          <w:rFonts w:asciiTheme="minorHAnsi" w:hAnsiTheme="minorHAnsi" w:cstheme="minorHAnsi"/>
        </w:rPr>
      </w:pPr>
    </w:p>
    <w:p w14:paraId="2DC41CDA" w14:textId="6654092B" w:rsidR="00202F63" w:rsidRDefault="00E50CDF" w:rsidP="00202F63">
      <w:pPr>
        <w:pStyle w:val="a"/>
        <w:bidi w:val="0"/>
        <w:rPr>
          <w:rFonts w:asciiTheme="minorHAnsi" w:hAnsiTheme="minorHAnsi" w:cstheme="minorHAnsi"/>
        </w:rPr>
      </w:pPr>
      <w:r w:rsidRPr="00B0154B">
        <w:rPr>
          <w:rFonts w:asciiTheme="minorHAnsi" w:hAnsiTheme="minorHAnsi" w:cstheme="minorHAnsi"/>
          <w:lang w:eastAsia="he-IL"/>
        </w:rPr>
        <w:t>A</w:t>
      </w:r>
      <w:r w:rsidR="00D40524" w:rsidRPr="00B0154B">
        <w:rPr>
          <w:rFonts w:asciiTheme="minorHAnsi" w:hAnsiTheme="minorHAnsi" w:cstheme="minorHAnsi"/>
          <w:lang w:eastAsia="he-IL"/>
        </w:rPr>
        <w:t>rticle 9 of the Constitution</w:t>
      </w:r>
      <w:r w:rsidR="00D40524" w:rsidRPr="00B0154B">
        <w:rPr>
          <w:rFonts w:asciiTheme="minorHAnsi" w:hAnsiTheme="minorHAnsi" w:cstheme="minorHAnsi" w:hint="cs"/>
          <w:rtl/>
          <w:lang w:eastAsia="he-IL"/>
        </w:rPr>
        <w:t xml:space="preserve"> </w:t>
      </w:r>
      <w:r w:rsidR="00D40524" w:rsidRPr="00B0154B">
        <w:rPr>
          <w:rFonts w:asciiTheme="minorHAnsi" w:hAnsiTheme="minorHAnsi" w:cstheme="minorHAnsi"/>
          <w:lang w:eastAsia="he-IL"/>
        </w:rPr>
        <w:t>regulate</w:t>
      </w:r>
      <w:r w:rsidR="00DF670D">
        <w:rPr>
          <w:rFonts w:asciiTheme="minorHAnsi" w:hAnsiTheme="minorHAnsi" w:cstheme="minorHAnsi"/>
          <w:lang w:eastAsia="he-IL"/>
        </w:rPr>
        <w:t>s</w:t>
      </w:r>
      <w:r w:rsidRPr="00B0154B">
        <w:rPr>
          <w:rFonts w:asciiTheme="minorHAnsi" w:hAnsiTheme="minorHAnsi" w:cstheme="minorHAnsi"/>
          <w:lang w:eastAsia="he-IL"/>
        </w:rPr>
        <w:t xml:space="preserve"> a mechanism which </w:t>
      </w:r>
      <w:r w:rsidR="00FC3F73">
        <w:rPr>
          <w:rFonts w:asciiTheme="minorHAnsi" w:hAnsiTheme="minorHAnsi" w:cstheme="minorHAnsi"/>
          <w:lang w:eastAsia="he-IL"/>
        </w:rPr>
        <w:t>shall determine</w:t>
      </w:r>
      <w:r w:rsidR="00FC3F73" w:rsidRPr="00B0154B">
        <w:rPr>
          <w:rFonts w:asciiTheme="minorHAnsi" w:hAnsiTheme="minorHAnsi" w:cstheme="minorHAnsi"/>
          <w:lang w:eastAsia="he-IL"/>
        </w:rPr>
        <w:t xml:space="preserve"> </w:t>
      </w:r>
      <w:r w:rsidRPr="00B0154B">
        <w:rPr>
          <w:rFonts w:asciiTheme="minorHAnsi" w:hAnsiTheme="minorHAnsi" w:cstheme="minorHAnsi"/>
          <w:lang w:eastAsia="he-IL"/>
        </w:rPr>
        <w:t xml:space="preserve">the elements of </w:t>
      </w:r>
      <w:r w:rsidR="00D40524" w:rsidRPr="00B0154B">
        <w:rPr>
          <w:rFonts w:asciiTheme="minorHAnsi" w:hAnsiTheme="minorHAnsi" w:cstheme="minorHAnsi"/>
          <w:lang w:eastAsia="he-IL"/>
        </w:rPr>
        <w:t>crimes</w:t>
      </w:r>
      <w:r w:rsidRPr="00B0154B">
        <w:rPr>
          <w:rFonts w:asciiTheme="minorHAnsi" w:hAnsiTheme="minorHAnsi" w:cstheme="minorHAnsi"/>
          <w:lang w:eastAsia="he-IL"/>
        </w:rPr>
        <w:t xml:space="preserve"> </w:t>
      </w:r>
      <w:r w:rsidR="002C1689">
        <w:rPr>
          <w:rFonts w:asciiTheme="minorHAnsi" w:hAnsiTheme="minorHAnsi" w:cstheme="minorHAnsi"/>
          <w:lang w:eastAsia="he-IL"/>
        </w:rPr>
        <w:t xml:space="preserve">which may fall </w:t>
      </w:r>
      <w:r w:rsidRPr="00B0154B">
        <w:rPr>
          <w:rFonts w:asciiTheme="minorHAnsi" w:hAnsiTheme="minorHAnsi" w:cstheme="minorHAnsi"/>
          <w:lang w:eastAsia="he-IL"/>
        </w:rPr>
        <w:t>within the jurisdiction of the Court</w:t>
      </w:r>
      <w:bookmarkStart w:id="0" w:name="_Ref333417607"/>
      <w:r w:rsidR="00DF670D">
        <w:rPr>
          <w:lang w:eastAsia="he-IL"/>
        </w:rPr>
        <w:t>.</w:t>
      </w:r>
      <w:r w:rsidR="00FF75A9">
        <w:rPr>
          <w:rStyle w:val="FootnoteReference"/>
          <w:rtl/>
          <w:lang w:val="hy-AM" w:eastAsia="he-IL"/>
        </w:rPr>
        <w:footnoteReference w:id="1"/>
      </w:r>
      <w:bookmarkEnd w:id="0"/>
      <w:r w:rsidR="00FF75A9">
        <w:rPr>
          <w:rFonts w:hint="cs"/>
          <w:rtl/>
          <w:lang w:val="hy-AM" w:eastAsia="he-IL"/>
        </w:rPr>
        <w:t xml:space="preserve"> </w:t>
      </w:r>
      <w:r w:rsidRPr="00B0154B">
        <w:rPr>
          <w:rFonts w:asciiTheme="minorHAnsi" w:hAnsiTheme="minorHAnsi" w:cstheme="minorHAnsi"/>
          <w:lang w:eastAsia="he-IL"/>
        </w:rPr>
        <w:t xml:space="preserve">In this way, </w:t>
      </w:r>
      <w:r w:rsidR="00B0154B" w:rsidRPr="00B0154B">
        <w:rPr>
          <w:rFonts w:asciiTheme="minorHAnsi" w:hAnsiTheme="minorHAnsi" w:cstheme="minorHAnsi"/>
          <w:lang w:eastAsia="he-IL"/>
        </w:rPr>
        <w:t>the Rome Statute</w:t>
      </w:r>
      <w:r w:rsidRPr="00B0154B">
        <w:rPr>
          <w:rFonts w:asciiTheme="minorHAnsi" w:hAnsiTheme="minorHAnsi" w:cstheme="minorHAnsi"/>
          <w:lang w:eastAsia="he-IL"/>
        </w:rPr>
        <w:t xml:space="preserve"> </w:t>
      </w:r>
      <w:r w:rsidR="00B0154B" w:rsidRPr="00B0154B">
        <w:rPr>
          <w:rFonts w:asciiTheme="minorHAnsi" w:hAnsiTheme="minorHAnsi" w:cstheme="minorHAnsi"/>
          <w:lang w:eastAsia="he-IL"/>
        </w:rPr>
        <w:t>asks to fix</w:t>
      </w:r>
      <w:r w:rsidRPr="00B0154B">
        <w:rPr>
          <w:rFonts w:asciiTheme="minorHAnsi" w:hAnsiTheme="minorHAnsi" w:cstheme="minorHAnsi"/>
          <w:lang w:eastAsia="he-IL"/>
        </w:rPr>
        <w:t xml:space="preserve"> the </w:t>
      </w:r>
      <w:r w:rsidR="002C1689" w:rsidRPr="00B0154B">
        <w:rPr>
          <w:rFonts w:asciiTheme="minorHAnsi" w:hAnsiTheme="minorHAnsi" w:cstheme="minorHAnsi"/>
          <w:lang w:eastAsia="he-IL"/>
        </w:rPr>
        <w:t>ex</w:t>
      </w:r>
      <w:r w:rsidR="002C1689">
        <w:rPr>
          <w:rFonts w:asciiTheme="minorHAnsi" w:hAnsiTheme="minorHAnsi" w:cstheme="minorHAnsi"/>
          <w:lang w:eastAsia="he-IL"/>
        </w:rPr>
        <w:t xml:space="preserve">isting </w:t>
      </w:r>
      <w:r w:rsidRPr="00B0154B">
        <w:rPr>
          <w:rFonts w:asciiTheme="minorHAnsi" w:hAnsiTheme="minorHAnsi" w:cstheme="minorHAnsi"/>
          <w:lang w:eastAsia="he-IL"/>
        </w:rPr>
        <w:t xml:space="preserve">deficiencies </w:t>
      </w:r>
      <w:r w:rsidR="00F14D36">
        <w:rPr>
          <w:rFonts w:asciiTheme="minorHAnsi" w:hAnsiTheme="minorHAnsi" w:cstheme="minorHAnsi"/>
          <w:lang w:eastAsia="he-IL"/>
        </w:rPr>
        <w:t>in previous constitutions</w:t>
      </w:r>
      <w:r w:rsidR="002C1689">
        <w:rPr>
          <w:rFonts w:asciiTheme="minorHAnsi" w:hAnsiTheme="minorHAnsi" w:cstheme="minorHAnsi"/>
          <w:lang w:eastAsia="he-IL"/>
        </w:rPr>
        <w:t>,</w:t>
      </w:r>
      <w:bookmarkStart w:id="1" w:name="_GoBack"/>
      <w:bookmarkEnd w:id="1"/>
      <w:r w:rsidR="002C1689">
        <w:rPr>
          <w:rStyle w:val="FootnoteReference"/>
          <w:rtl/>
          <w:lang w:val="hy-AM" w:eastAsia="he-IL"/>
        </w:rPr>
        <w:footnoteReference w:id="2"/>
      </w:r>
      <w:r w:rsidR="001435F9">
        <w:rPr>
          <w:rFonts w:hint="cs"/>
          <w:rtl/>
          <w:lang w:eastAsia="he-IL"/>
        </w:rPr>
        <w:t xml:space="preserve"> </w:t>
      </w:r>
      <w:r w:rsidR="00F14D36">
        <w:rPr>
          <w:rFonts w:asciiTheme="minorHAnsi" w:hAnsiTheme="minorHAnsi" w:cstheme="minorHAnsi"/>
          <w:lang w:eastAsia="he-IL"/>
        </w:rPr>
        <w:t>since</w:t>
      </w:r>
      <w:r w:rsidRPr="00B20089">
        <w:rPr>
          <w:rFonts w:asciiTheme="minorHAnsi" w:hAnsiTheme="minorHAnsi" w:cstheme="minorHAnsi"/>
          <w:lang w:eastAsia="he-IL"/>
        </w:rPr>
        <w:t xml:space="preserve"> </w:t>
      </w:r>
      <w:r w:rsidR="00B0154B">
        <w:rPr>
          <w:rFonts w:asciiTheme="minorHAnsi" w:hAnsiTheme="minorHAnsi" w:cstheme="minorHAnsi"/>
          <w:lang w:eastAsia="he-IL"/>
        </w:rPr>
        <w:t>I</w:t>
      </w:r>
      <w:r w:rsidRPr="00B20089">
        <w:rPr>
          <w:rFonts w:asciiTheme="minorHAnsi" w:hAnsiTheme="minorHAnsi" w:cstheme="minorHAnsi"/>
          <w:lang w:eastAsia="he-IL"/>
        </w:rPr>
        <w:t xml:space="preserve">n Yugoslavia and </w:t>
      </w:r>
      <w:r w:rsidR="00B0154B" w:rsidRPr="00B20089">
        <w:rPr>
          <w:rFonts w:asciiTheme="minorHAnsi" w:hAnsiTheme="minorHAnsi" w:cstheme="minorHAnsi"/>
          <w:lang w:eastAsia="he-IL"/>
        </w:rPr>
        <w:t>Rwanda,</w:t>
      </w:r>
      <w:r w:rsidRPr="00B20089">
        <w:rPr>
          <w:rFonts w:asciiTheme="minorHAnsi" w:hAnsiTheme="minorHAnsi" w:cstheme="minorHAnsi"/>
          <w:lang w:eastAsia="he-IL"/>
        </w:rPr>
        <w:t xml:space="preserve"> the</w:t>
      </w:r>
      <w:r w:rsidR="00F14D36">
        <w:rPr>
          <w:rFonts w:asciiTheme="minorHAnsi" w:hAnsiTheme="minorHAnsi" w:cstheme="minorHAnsi"/>
          <w:lang w:eastAsia="he-IL"/>
        </w:rPr>
        <w:t>re were no formal legal document</w:t>
      </w:r>
      <w:r w:rsidR="002C1689">
        <w:rPr>
          <w:rFonts w:asciiTheme="minorHAnsi" w:hAnsiTheme="minorHAnsi" w:cstheme="minorHAnsi"/>
          <w:lang w:eastAsia="he-IL"/>
        </w:rPr>
        <w:t>s</w:t>
      </w:r>
      <w:r w:rsidR="00F14D36">
        <w:rPr>
          <w:rFonts w:asciiTheme="minorHAnsi" w:hAnsiTheme="minorHAnsi" w:cstheme="minorHAnsi"/>
          <w:lang w:eastAsia="he-IL"/>
        </w:rPr>
        <w:t xml:space="preserve"> detailing the elements of crimes. Article 21(1)</w:t>
      </w:r>
      <w:r w:rsidRPr="00B20089">
        <w:rPr>
          <w:rFonts w:asciiTheme="minorHAnsi" w:hAnsiTheme="minorHAnsi" w:cstheme="minorHAnsi"/>
          <w:lang w:eastAsia="he-IL"/>
        </w:rPr>
        <w:t xml:space="preserve">(a) of the </w:t>
      </w:r>
      <w:r w:rsidR="00F14D36" w:rsidRPr="00F14D36">
        <w:rPr>
          <w:rFonts w:asciiTheme="minorHAnsi" w:hAnsiTheme="minorHAnsi" w:cstheme="minorHAnsi"/>
          <w:lang w:eastAsia="he-IL"/>
        </w:rPr>
        <w:t>Rome Statute</w:t>
      </w:r>
      <w:r w:rsidRPr="00F14D36">
        <w:rPr>
          <w:rFonts w:asciiTheme="minorHAnsi" w:hAnsiTheme="minorHAnsi" w:cstheme="minorHAnsi"/>
          <w:lang w:eastAsia="he-IL"/>
        </w:rPr>
        <w:t xml:space="preserve"> </w:t>
      </w:r>
      <w:r w:rsidR="00B90B91">
        <w:rPr>
          <w:rFonts w:asciiTheme="minorHAnsi" w:hAnsiTheme="minorHAnsi" w:cstheme="minorHAnsi"/>
          <w:lang w:eastAsia="he-IL"/>
        </w:rPr>
        <w:t xml:space="preserve">puts 'elements of crime' at the top of the </w:t>
      </w:r>
      <w:r w:rsidRPr="00B20089">
        <w:rPr>
          <w:rFonts w:asciiTheme="minorHAnsi" w:hAnsiTheme="minorHAnsi" w:cstheme="minorHAnsi"/>
          <w:lang w:eastAsia="he-IL"/>
        </w:rPr>
        <w:t xml:space="preserve">normative hierarchy </w:t>
      </w:r>
      <w:r w:rsidR="00B90B91">
        <w:rPr>
          <w:rFonts w:asciiTheme="minorHAnsi" w:hAnsiTheme="minorHAnsi" w:cstheme="minorHAnsi"/>
          <w:lang w:eastAsia="he-IL"/>
        </w:rPr>
        <w:t xml:space="preserve">alongside </w:t>
      </w:r>
      <w:r w:rsidR="007C0C49">
        <w:rPr>
          <w:rFonts w:asciiTheme="minorHAnsi" w:hAnsiTheme="minorHAnsi" w:cstheme="minorHAnsi"/>
          <w:lang w:eastAsia="he-IL"/>
        </w:rPr>
        <w:t xml:space="preserve">the rules of procedure, </w:t>
      </w:r>
      <w:r w:rsidR="007C0C49" w:rsidRPr="007C0C49">
        <w:rPr>
          <w:rFonts w:asciiTheme="minorHAnsi" w:hAnsiTheme="minorHAnsi" w:cstheme="minorHAnsi"/>
          <w:lang w:eastAsia="he-IL"/>
        </w:rPr>
        <w:t>the rules of evidence</w:t>
      </w:r>
      <w:r w:rsidR="002C1689">
        <w:rPr>
          <w:rFonts w:asciiTheme="minorHAnsi" w:hAnsiTheme="minorHAnsi" w:cstheme="minorHAnsi"/>
          <w:lang w:eastAsia="he-IL"/>
        </w:rPr>
        <w:t>,</w:t>
      </w:r>
      <w:r w:rsidR="007C0C49">
        <w:rPr>
          <w:rFonts w:asciiTheme="minorHAnsi" w:hAnsiTheme="minorHAnsi" w:cstheme="minorHAnsi"/>
          <w:lang w:eastAsia="he-IL"/>
        </w:rPr>
        <w:t xml:space="preserve"> and the</w:t>
      </w:r>
      <w:r w:rsidR="007C0C49" w:rsidRPr="007C0C49">
        <w:rPr>
          <w:rFonts w:asciiTheme="minorHAnsi" w:hAnsiTheme="minorHAnsi" w:cstheme="minorHAnsi"/>
          <w:lang w:eastAsia="he-IL"/>
        </w:rPr>
        <w:t xml:space="preserve"> constitution itself</w:t>
      </w:r>
      <w:r w:rsidR="007C0C49">
        <w:rPr>
          <w:rFonts w:asciiTheme="minorHAnsi" w:hAnsiTheme="minorHAnsi" w:cstheme="minorHAnsi"/>
          <w:lang w:eastAsia="he-IL"/>
        </w:rPr>
        <w:t>.</w:t>
      </w:r>
      <w:r w:rsidR="00460CE6">
        <w:rPr>
          <w:rFonts w:asciiTheme="minorHAnsi" w:hAnsiTheme="minorHAnsi" w:cstheme="minorHAnsi"/>
          <w:lang w:eastAsia="he-IL"/>
        </w:rPr>
        <w:t xml:space="preserve"> </w:t>
      </w:r>
      <w:r w:rsidRPr="00B20089">
        <w:rPr>
          <w:rFonts w:asciiTheme="minorHAnsi" w:hAnsiTheme="minorHAnsi" w:cstheme="minorHAnsi"/>
          <w:lang w:eastAsia="he-IL"/>
        </w:rPr>
        <w:t xml:space="preserve">In September 2002, the Court published an </w:t>
      </w:r>
      <w:r w:rsidRPr="00B20089">
        <w:rPr>
          <w:rFonts w:asciiTheme="minorHAnsi" w:hAnsiTheme="minorHAnsi" w:cstheme="minorHAnsi"/>
          <w:lang w:eastAsia="he-IL"/>
        </w:rPr>
        <w:lastRenderedPageBreak/>
        <w:t xml:space="preserve">appendix </w:t>
      </w:r>
      <w:r w:rsidR="00460CE6">
        <w:rPr>
          <w:rFonts w:asciiTheme="minorHAnsi" w:hAnsiTheme="minorHAnsi" w:cstheme="minorHAnsi"/>
          <w:lang w:eastAsia="he-IL"/>
        </w:rPr>
        <w:t>to the Constitution</w:t>
      </w:r>
      <w:r w:rsidRPr="00B20089">
        <w:rPr>
          <w:rFonts w:asciiTheme="minorHAnsi" w:hAnsiTheme="minorHAnsi" w:cstheme="minorHAnsi"/>
          <w:lang w:eastAsia="he-IL"/>
        </w:rPr>
        <w:t xml:space="preserve"> entitled "Elements of Crimes",</w:t>
      </w:r>
      <w:bookmarkStart w:id="2" w:name="_Ref333216374"/>
      <w:r w:rsidR="001435F9" w:rsidRPr="00717AC1">
        <w:rPr>
          <w:rStyle w:val="FootnoteReference"/>
          <w:rtl/>
          <w:lang w:val="hy-AM" w:eastAsia="he-IL"/>
        </w:rPr>
        <w:footnoteReference w:id="3"/>
      </w:r>
      <w:bookmarkEnd w:id="2"/>
      <w:r w:rsidR="001435F9" w:rsidRPr="00717AC1">
        <w:rPr>
          <w:rFonts w:hint="cs"/>
          <w:rtl/>
          <w:lang w:val="hy-AM" w:eastAsia="he-IL"/>
        </w:rPr>
        <w:t xml:space="preserve"> </w:t>
      </w:r>
      <w:r w:rsidRPr="00B20089">
        <w:rPr>
          <w:rFonts w:asciiTheme="minorHAnsi" w:hAnsiTheme="minorHAnsi" w:cstheme="minorHAnsi"/>
          <w:lang w:eastAsia="he-IL"/>
        </w:rPr>
        <w:t xml:space="preserve">which details, inter alia, definitions of acts </w:t>
      </w:r>
      <w:r w:rsidR="002C1689">
        <w:rPr>
          <w:rFonts w:asciiTheme="minorHAnsi" w:hAnsiTheme="minorHAnsi" w:cstheme="minorHAnsi"/>
          <w:lang w:eastAsia="he-IL"/>
        </w:rPr>
        <w:t xml:space="preserve">which </w:t>
      </w:r>
      <w:r w:rsidRPr="00B20089">
        <w:rPr>
          <w:rFonts w:asciiTheme="minorHAnsi" w:hAnsiTheme="minorHAnsi" w:cstheme="minorHAnsi"/>
          <w:lang w:eastAsia="he-IL"/>
        </w:rPr>
        <w:t>constitut</w:t>
      </w:r>
      <w:r w:rsidR="002C1689">
        <w:rPr>
          <w:rFonts w:asciiTheme="minorHAnsi" w:hAnsiTheme="minorHAnsi" w:cstheme="minorHAnsi"/>
          <w:lang w:eastAsia="he-IL"/>
        </w:rPr>
        <w:t>e</w:t>
      </w:r>
      <w:r w:rsidRPr="00B20089">
        <w:rPr>
          <w:rFonts w:asciiTheme="minorHAnsi" w:hAnsiTheme="minorHAnsi" w:cstheme="minorHAnsi"/>
          <w:lang w:eastAsia="he-IL"/>
        </w:rPr>
        <w:t xml:space="preserve"> an offense</w:t>
      </w:r>
      <w:r w:rsidR="007C2FF1" w:rsidRPr="00B20089">
        <w:rPr>
          <w:rFonts w:asciiTheme="minorHAnsi" w:hAnsiTheme="minorHAnsi" w:cstheme="minorHAnsi"/>
          <w:lang w:eastAsia="he-IL"/>
        </w:rPr>
        <w:t>.</w:t>
      </w:r>
    </w:p>
    <w:p w14:paraId="56ED4419" w14:textId="77777777" w:rsidR="00202F63" w:rsidRDefault="00202F63" w:rsidP="00202F63">
      <w:pPr>
        <w:pStyle w:val="a"/>
        <w:bidi w:val="0"/>
        <w:rPr>
          <w:rFonts w:asciiTheme="minorHAnsi" w:hAnsiTheme="minorHAnsi" w:cstheme="minorHAnsi"/>
        </w:rPr>
      </w:pPr>
    </w:p>
    <w:p w14:paraId="62788ADD" w14:textId="144E7CF8" w:rsidR="00BD6DE6" w:rsidRDefault="00BD6DE6" w:rsidP="00202F63">
      <w:pPr>
        <w:pStyle w:val="a"/>
        <w:bidi w:val="0"/>
        <w:rPr>
          <w:rFonts w:asciiTheme="minorHAnsi" w:hAnsiTheme="minorHAnsi" w:cstheme="minorHAnsi"/>
        </w:rPr>
      </w:pPr>
      <w:r w:rsidRPr="00BD6DE6">
        <w:rPr>
          <w:rFonts w:asciiTheme="minorHAnsi" w:hAnsiTheme="minorHAnsi" w:cstheme="minorHAnsi"/>
        </w:rPr>
        <w:t>Recent developments in cyber</w:t>
      </w:r>
      <w:r w:rsidR="004B3B39">
        <w:rPr>
          <w:rFonts w:asciiTheme="minorHAnsi" w:hAnsiTheme="minorHAnsi" w:cstheme="minorHAnsi"/>
        </w:rPr>
        <w:t xml:space="preserve"> warfare </w:t>
      </w:r>
      <w:r w:rsidRPr="00BD6DE6">
        <w:rPr>
          <w:rFonts w:asciiTheme="minorHAnsi" w:hAnsiTheme="minorHAnsi" w:cstheme="minorHAnsi"/>
        </w:rPr>
        <w:t>have led many experts to e</w:t>
      </w:r>
      <w:r w:rsidR="00260233">
        <w:rPr>
          <w:rFonts w:asciiTheme="minorHAnsi" w:hAnsiTheme="minorHAnsi" w:cstheme="minorHAnsi"/>
        </w:rPr>
        <w:t>stimate that the use of cyber</w:t>
      </w:r>
      <w:r w:rsidRPr="00BD6DE6">
        <w:rPr>
          <w:rFonts w:asciiTheme="minorHAnsi" w:hAnsiTheme="minorHAnsi" w:cstheme="minorHAnsi"/>
        </w:rPr>
        <w:t xml:space="preserve"> capabilities </w:t>
      </w:r>
      <w:r w:rsidR="00DD1B2D">
        <w:rPr>
          <w:rFonts w:asciiTheme="minorHAnsi" w:hAnsiTheme="minorHAnsi" w:cstheme="minorHAnsi"/>
        </w:rPr>
        <w:t>in</w:t>
      </w:r>
      <w:r w:rsidRPr="00BD6DE6">
        <w:rPr>
          <w:rFonts w:asciiTheme="minorHAnsi" w:hAnsiTheme="minorHAnsi" w:cstheme="minorHAnsi"/>
        </w:rPr>
        <w:t xml:space="preserve"> war will increase in future conflicts. In recent years, many countries and organizations have demonstrated their </w:t>
      </w:r>
      <w:r w:rsidRPr="00704903">
        <w:rPr>
          <w:rFonts w:asciiTheme="minorHAnsi" w:hAnsiTheme="minorHAnsi" w:cstheme="minorHAnsi"/>
        </w:rPr>
        <w:t xml:space="preserve">capabilities in various conflicts. Cyber ​​warfare </w:t>
      </w:r>
      <w:r w:rsidR="00F91044" w:rsidRPr="00704903">
        <w:rPr>
          <w:rFonts w:asciiTheme="minorHAnsi" w:hAnsiTheme="minorHAnsi" w:cstheme="minorHAnsi"/>
        </w:rPr>
        <w:t>occupies a central place</w:t>
      </w:r>
      <w:r w:rsidRPr="00704903">
        <w:rPr>
          <w:rFonts w:asciiTheme="minorHAnsi" w:hAnsiTheme="minorHAnsi" w:cstheme="minorHAnsi"/>
        </w:rPr>
        <w:t xml:space="preserve"> in the security budgets of many countries, and even in the fields of defense</w:t>
      </w:r>
      <w:r w:rsidR="00E95141">
        <w:rPr>
          <w:rFonts w:asciiTheme="minorHAnsi" w:hAnsiTheme="minorHAnsi" w:cstheme="minorHAnsi"/>
        </w:rPr>
        <w:t>-related</w:t>
      </w:r>
      <w:r w:rsidRPr="00BD6DE6">
        <w:rPr>
          <w:rFonts w:asciiTheme="minorHAnsi" w:hAnsiTheme="minorHAnsi" w:cstheme="minorHAnsi"/>
        </w:rPr>
        <w:t xml:space="preserve"> industry and commerce. These developments </w:t>
      </w:r>
      <w:r w:rsidR="00D5038B">
        <w:rPr>
          <w:rFonts w:asciiTheme="minorHAnsi" w:hAnsiTheme="minorHAnsi" w:cstheme="minorHAnsi"/>
        </w:rPr>
        <w:t>are</w:t>
      </w:r>
      <w:r w:rsidR="00D5038B" w:rsidRPr="00BD6DE6">
        <w:rPr>
          <w:rFonts w:asciiTheme="minorHAnsi" w:hAnsiTheme="minorHAnsi" w:cstheme="minorHAnsi"/>
        </w:rPr>
        <w:t xml:space="preserve"> </w:t>
      </w:r>
      <w:r w:rsidRPr="00BD6DE6">
        <w:rPr>
          <w:rFonts w:asciiTheme="minorHAnsi" w:hAnsiTheme="minorHAnsi" w:cstheme="minorHAnsi"/>
        </w:rPr>
        <w:t xml:space="preserve">not </w:t>
      </w:r>
      <w:r w:rsidR="00D5038B">
        <w:rPr>
          <w:rFonts w:asciiTheme="minorHAnsi" w:hAnsiTheme="minorHAnsi" w:cstheme="minorHAnsi"/>
        </w:rPr>
        <w:t>absent from</w:t>
      </w:r>
      <w:r w:rsidR="00D5038B" w:rsidRPr="00BD6DE6">
        <w:rPr>
          <w:rFonts w:asciiTheme="minorHAnsi" w:hAnsiTheme="minorHAnsi" w:cstheme="minorHAnsi"/>
        </w:rPr>
        <w:t xml:space="preserve"> </w:t>
      </w:r>
      <w:r w:rsidRPr="00BD6DE6">
        <w:rPr>
          <w:rFonts w:asciiTheme="minorHAnsi" w:hAnsiTheme="minorHAnsi" w:cstheme="minorHAnsi"/>
        </w:rPr>
        <w:t xml:space="preserve">academia, which develops various </w:t>
      </w:r>
      <w:r w:rsidR="00064F29">
        <w:rPr>
          <w:rFonts w:asciiTheme="minorHAnsi" w:hAnsiTheme="minorHAnsi" w:cstheme="minorHAnsi"/>
        </w:rPr>
        <w:t>d</w:t>
      </w:r>
      <w:r w:rsidR="00064F29" w:rsidRPr="00064F29">
        <w:rPr>
          <w:rFonts w:asciiTheme="minorHAnsi" w:hAnsiTheme="minorHAnsi" w:cstheme="minorHAnsi"/>
        </w:rPr>
        <w:t>isciplines</w:t>
      </w:r>
      <w:r w:rsidRPr="00BD6DE6">
        <w:rPr>
          <w:rFonts w:asciiTheme="minorHAnsi" w:hAnsiTheme="minorHAnsi" w:cstheme="minorHAnsi"/>
        </w:rPr>
        <w:t xml:space="preserve"> </w:t>
      </w:r>
      <w:r w:rsidR="00D5038B">
        <w:rPr>
          <w:rFonts w:asciiTheme="minorHAnsi" w:hAnsiTheme="minorHAnsi" w:cstheme="minorHAnsi"/>
        </w:rPr>
        <w:t>surrounding</w:t>
      </w:r>
      <w:r w:rsidRPr="00BD6DE6">
        <w:rPr>
          <w:rFonts w:asciiTheme="minorHAnsi" w:hAnsiTheme="minorHAnsi" w:cstheme="minorHAnsi"/>
        </w:rPr>
        <w:t xml:space="preserve"> the subject. Ethics and law, as usual, lag behind </w:t>
      </w:r>
      <w:r w:rsidR="00995F48">
        <w:rPr>
          <w:rFonts w:asciiTheme="minorHAnsi" w:hAnsiTheme="minorHAnsi" w:cstheme="minorHAnsi"/>
        </w:rPr>
        <w:t xml:space="preserve">the </w:t>
      </w:r>
      <w:r w:rsidRPr="00BD6DE6">
        <w:rPr>
          <w:rFonts w:asciiTheme="minorHAnsi" w:hAnsiTheme="minorHAnsi" w:cstheme="minorHAnsi"/>
        </w:rPr>
        <w:t>t</w:t>
      </w:r>
      <w:r w:rsidR="00995F48">
        <w:rPr>
          <w:rFonts w:asciiTheme="minorHAnsi" w:hAnsiTheme="minorHAnsi" w:cstheme="minorHAnsi"/>
        </w:rPr>
        <w:t xml:space="preserve">echnological developments. </w:t>
      </w:r>
      <w:r w:rsidR="00995F48" w:rsidRPr="00BD6DE6">
        <w:rPr>
          <w:rFonts w:asciiTheme="minorHAnsi" w:hAnsiTheme="minorHAnsi" w:cstheme="minorHAnsi"/>
        </w:rPr>
        <w:t>Very</w:t>
      </w:r>
      <w:r w:rsidRPr="00BD6DE6">
        <w:rPr>
          <w:rFonts w:asciiTheme="minorHAnsi" w:hAnsiTheme="minorHAnsi" w:cstheme="minorHAnsi"/>
        </w:rPr>
        <w:t xml:space="preserve"> </w:t>
      </w:r>
      <w:r w:rsidR="00995F48" w:rsidRPr="00BD6DE6">
        <w:rPr>
          <w:rFonts w:asciiTheme="minorHAnsi" w:hAnsiTheme="minorHAnsi" w:cstheme="minorHAnsi"/>
        </w:rPr>
        <w:t>little</w:t>
      </w:r>
      <w:r w:rsidRPr="00BD6DE6">
        <w:rPr>
          <w:rFonts w:asciiTheme="minorHAnsi" w:hAnsiTheme="minorHAnsi" w:cstheme="minorHAnsi"/>
        </w:rPr>
        <w:t xml:space="preserve"> </w:t>
      </w:r>
      <w:r w:rsidR="00995F48">
        <w:rPr>
          <w:rFonts w:asciiTheme="minorHAnsi" w:hAnsiTheme="minorHAnsi" w:cstheme="minorHAnsi"/>
        </w:rPr>
        <w:t>ha</w:t>
      </w:r>
      <w:r w:rsidR="00D5038B">
        <w:rPr>
          <w:rFonts w:asciiTheme="minorHAnsi" w:hAnsiTheme="minorHAnsi" w:cstheme="minorHAnsi"/>
        </w:rPr>
        <w:t>s</w:t>
      </w:r>
      <w:r w:rsidR="00995F48">
        <w:rPr>
          <w:rFonts w:asciiTheme="minorHAnsi" w:hAnsiTheme="minorHAnsi" w:cstheme="minorHAnsi"/>
        </w:rPr>
        <w:t xml:space="preserve"> been done in order to regulate</w:t>
      </w:r>
      <w:r w:rsidRPr="00BD6DE6">
        <w:rPr>
          <w:rFonts w:asciiTheme="minorHAnsi" w:hAnsiTheme="minorHAnsi" w:cstheme="minorHAnsi"/>
        </w:rPr>
        <w:t xml:space="preserve"> </w:t>
      </w:r>
      <w:r w:rsidR="00995F48">
        <w:rPr>
          <w:rFonts w:asciiTheme="minorHAnsi" w:hAnsiTheme="minorHAnsi" w:cstheme="minorHAnsi"/>
        </w:rPr>
        <w:t xml:space="preserve">the sphere of </w:t>
      </w:r>
      <w:r w:rsidR="00995F48" w:rsidRPr="00BD6DE6">
        <w:rPr>
          <w:rFonts w:asciiTheme="minorHAnsi" w:hAnsiTheme="minorHAnsi" w:cstheme="minorHAnsi"/>
        </w:rPr>
        <w:t>cyber</w:t>
      </w:r>
      <w:r w:rsidR="00995F48">
        <w:rPr>
          <w:rFonts w:asciiTheme="minorHAnsi" w:hAnsiTheme="minorHAnsi" w:cstheme="minorHAnsi"/>
        </w:rPr>
        <w:t>-</w:t>
      </w:r>
      <w:r w:rsidR="00995F48" w:rsidRPr="00BD6DE6">
        <w:rPr>
          <w:rFonts w:asciiTheme="minorHAnsi" w:hAnsiTheme="minorHAnsi" w:cstheme="minorHAnsi"/>
        </w:rPr>
        <w:t>crimes</w:t>
      </w:r>
      <w:r w:rsidRPr="00BD6DE6">
        <w:rPr>
          <w:rFonts w:asciiTheme="minorHAnsi" w:hAnsiTheme="minorHAnsi" w:cstheme="minorHAnsi"/>
        </w:rPr>
        <w:t xml:space="preserve"> at the state level. This is even </w:t>
      </w:r>
      <w:r w:rsidR="00085495" w:rsidRPr="00BD6DE6">
        <w:rPr>
          <w:rFonts w:asciiTheme="minorHAnsi" w:hAnsiTheme="minorHAnsi" w:cstheme="minorHAnsi"/>
        </w:rPr>
        <w:t>truer</w:t>
      </w:r>
      <w:r w:rsidRPr="00BD6DE6">
        <w:rPr>
          <w:rFonts w:asciiTheme="minorHAnsi" w:hAnsiTheme="minorHAnsi" w:cstheme="minorHAnsi"/>
        </w:rPr>
        <w:t xml:space="preserve"> with regard to international regulation, and </w:t>
      </w:r>
      <w:r w:rsidR="00085495">
        <w:rPr>
          <w:rFonts w:asciiTheme="minorHAnsi" w:hAnsiTheme="minorHAnsi" w:cstheme="minorHAnsi"/>
        </w:rPr>
        <w:t>particularly</w:t>
      </w:r>
      <w:r w:rsidRPr="00BD6DE6">
        <w:rPr>
          <w:rFonts w:asciiTheme="minorHAnsi" w:hAnsiTheme="minorHAnsi" w:cstheme="minorHAnsi"/>
        </w:rPr>
        <w:t>, with regard to the issue of war crimes in international law.</w:t>
      </w:r>
    </w:p>
    <w:p w14:paraId="62B1709C" w14:textId="4C3A0449" w:rsidR="00D2057D" w:rsidRDefault="00D2057D" w:rsidP="00D2057D">
      <w:pPr>
        <w:pStyle w:val="a"/>
        <w:bidi w:val="0"/>
        <w:rPr>
          <w:rFonts w:asciiTheme="minorHAnsi" w:hAnsiTheme="minorHAnsi" w:cstheme="minorHAnsi"/>
        </w:rPr>
      </w:pPr>
    </w:p>
    <w:p w14:paraId="68C348C5" w14:textId="26C5CB1B" w:rsidR="00D2057D" w:rsidRPr="003000DA" w:rsidRDefault="00D2057D" w:rsidP="00D2057D">
      <w:pPr>
        <w:pStyle w:val="a"/>
        <w:bidi w:val="0"/>
        <w:rPr>
          <w:rFonts w:asciiTheme="majorBidi" w:hAnsiTheme="majorBidi" w:cstheme="majorBidi"/>
        </w:rPr>
      </w:pPr>
      <w:r w:rsidRPr="003000DA">
        <w:rPr>
          <w:rFonts w:asciiTheme="majorBidi" w:hAnsiTheme="majorBidi" w:cstheme="majorBidi"/>
        </w:rPr>
        <w:t>According to Jeremy Waldron:</w:t>
      </w:r>
    </w:p>
    <w:p w14:paraId="4AD32C83" w14:textId="58F41490" w:rsidR="007C47A8" w:rsidRPr="003000DA" w:rsidRDefault="00D2057D" w:rsidP="007C47A8">
      <w:pPr>
        <w:pStyle w:val="a"/>
        <w:bidi w:val="0"/>
        <w:ind w:left="720" w:right="720" w:firstLine="0"/>
        <w:rPr>
          <w:rFonts w:asciiTheme="majorBidi" w:hAnsiTheme="majorBidi" w:cstheme="majorBidi"/>
        </w:rPr>
      </w:pPr>
      <w:r w:rsidRPr="003000DA">
        <w:rPr>
          <w:rFonts w:asciiTheme="majorBidi" w:hAnsiTheme="majorBidi" w:cstheme="majorBidi"/>
        </w:rPr>
        <w:t xml:space="preserve"> </w:t>
      </w:r>
      <w:r w:rsidR="007C47A8" w:rsidRPr="003000DA">
        <w:rPr>
          <w:rFonts w:asciiTheme="majorBidi" w:hAnsiTheme="majorBidi" w:cstheme="majorBidi"/>
        </w:rPr>
        <w:t xml:space="preserve">“It is a feature of the human predicament, not only of the legislator but of anyone who attempts to regulate some sphere of conduct by means of general rules, that he </w:t>
      </w:r>
      <w:proofErr w:type="spellStart"/>
      <w:r w:rsidR="007C47A8" w:rsidRPr="003000DA">
        <w:rPr>
          <w:rFonts w:asciiTheme="majorBidi" w:hAnsiTheme="majorBidi" w:cstheme="majorBidi"/>
        </w:rPr>
        <w:t>labours</w:t>
      </w:r>
      <w:proofErr w:type="spellEnd"/>
      <w:r w:rsidR="007C47A8" w:rsidRPr="003000DA">
        <w:rPr>
          <w:rFonts w:asciiTheme="majorBidi" w:hAnsiTheme="majorBidi" w:cstheme="majorBidi"/>
        </w:rPr>
        <w:t xml:space="preserve"> under one supreme handicap - the impossibility of foreseeing all possible combinations of circumstances that the future may bring […]”</w:t>
      </w:r>
      <w:r w:rsidR="007C47A8" w:rsidRPr="003000DA">
        <w:rPr>
          <w:rStyle w:val="FootnoteReference"/>
          <w:rFonts w:asciiTheme="majorBidi" w:hAnsiTheme="majorBidi" w:cstheme="majorBidi"/>
        </w:rPr>
        <w:footnoteReference w:id="4"/>
      </w:r>
      <w:r w:rsidR="007C47A8" w:rsidRPr="003000DA">
        <w:rPr>
          <w:rFonts w:asciiTheme="majorBidi" w:hAnsiTheme="majorBidi" w:cstheme="majorBidi"/>
        </w:rPr>
        <w:t xml:space="preserve">. </w:t>
      </w:r>
    </w:p>
    <w:p w14:paraId="4D97A1C8" w14:textId="7D3FCED9" w:rsidR="00714EA4" w:rsidRPr="003000DA" w:rsidRDefault="00714EA4" w:rsidP="00D93507">
      <w:pPr>
        <w:pStyle w:val="a"/>
        <w:ind w:firstLine="0"/>
        <w:rPr>
          <w:rFonts w:asciiTheme="majorBidi" w:hAnsiTheme="majorBidi" w:cstheme="majorBidi"/>
          <w:rtl/>
        </w:rPr>
      </w:pPr>
    </w:p>
    <w:p w14:paraId="4D2651D1" w14:textId="3777B8A1" w:rsidR="00714EA4" w:rsidRPr="00BD6DE6" w:rsidRDefault="00262BA3" w:rsidP="003000DA">
      <w:pPr>
        <w:pStyle w:val="a"/>
        <w:bidi w:val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14EA4" w:rsidRPr="00BD6DE6">
        <w:rPr>
          <w:rFonts w:asciiTheme="minorHAnsi" w:hAnsiTheme="minorHAnsi" w:cstheme="minorHAnsi"/>
        </w:rPr>
        <w:t xml:space="preserve">echnological developments and </w:t>
      </w:r>
      <w:r w:rsidRPr="00BD6DE6">
        <w:rPr>
          <w:rFonts w:asciiTheme="minorHAnsi" w:hAnsiTheme="minorHAnsi" w:cstheme="minorHAnsi"/>
        </w:rPr>
        <w:t>capabilities</w:t>
      </w:r>
      <w:r>
        <w:rPr>
          <w:rFonts w:asciiTheme="minorHAnsi" w:hAnsiTheme="minorHAnsi" w:cstheme="minorHAnsi"/>
        </w:rPr>
        <w:t>,</w:t>
      </w:r>
      <w:r w:rsidRPr="00BD6DE6">
        <w:rPr>
          <w:rFonts w:asciiTheme="minorHAnsi" w:hAnsiTheme="minorHAnsi" w:cstheme="minorHAnsi"/>
        </w:rPr>
        <w:t xml:space="preserve"> which are naturally kept under a heavy veil of secrecy until </w:t>
      </w:r>
      <w:r w:rsidR="00941663">
        <w:rPr>
          <w:rFonts w:asciiTheme="minorHAnsi" w:hAnsiTheme="minorHAnsi" w:cstheme="minorHAnsi"/>
        </w:rPr>
        <w:t>they are needed</w:t>
      </w:r>
      <w:r w:rsidRPr="00BD6DE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</w:t>
      </w:r>
      <w:r w:rsidRPr="00262BA3">
        <w:rPr>
          <w:rFonts w:asciiTheme="minorHAnsi" w:hAnsiTheme="minorHAnsi" w:cstheme="minorHAnsi"/>
        </w:rPr>
        <w:t xml:space="preserve">mphasize the importance </w:t>
      </w:r>
      <w:r>
        <w:rPr>
          <w:rFonts w:asciiTheme="minorHAnsi" w:hAnsiTheme="minorHAnsi" w:cstheme="minorHAnsi"/>
        </w:rPr>
        <w:t xml:space="preserve">of Waldron's words. </w:t>
      </w:r>
      <w:r w:rsidR="00714EA4" w:rsidRPr="00BD6DE6">
        <w:rPr>
          <w:rFonts w:asciiTheme="minorHAnsi" w:hAnsiTheme="minorHAnsi" w:cstheme="minorHAnsi"/>
        </w:rPr>
        <w:t>However, this is certainly not a justification for reliance on vague norms that harm the efficiency, certainty</w:t>
      </w:r>
      <w:r w:rsidR="00941663">
        <w:rPr>
          <w:rFonts w:asciiTheme="minorHAnsi" w:hAnsiTheme="minorHAnsi" w:cstheme="minorHAnsi"/>
        </w:rPr>
        <w:t>,</w:t>
      </w:r>
      <w:r w:rsidR="00714EA4" w:rsidRPr="00BD6DE6">
        <w:rPr>
          <w:rFonts w:asciiTheme="minorHAnsi" w:hAnsiTheme="minorHAnsi" w:cstheme="minorHAnsi"/>
        </w:rPr>
        <w:t xml:space="preserve"> and </w:t>
      </w:r>
      <w:r w:rsidR="007962BF" w:rsidRPr="00DE07AC">
        <w:rPr>
          <w:rFonts w:asciiTheme="minorHAnsi" w:hAnsiTheme="minorHAnsi" w:cstheme="minorHAnsi"/>
        </w:rPr>
        <w:t>ascertain ability</w:t>
      </w:r>
      <w:r w:rsidR="00DE07AC" w:rsidRPr="00DE07AC">
        <w:rPr>
          <w:rFonts w:asciiTheme="minorHAnsi" w:hAnsiTheme="minorHAnsi" w:cstheme="minorHAnsi"/>
        </w:rPr>
        <w:t xml:space="preserve"> </w:t>
      </w:r>
      <w:r w:rsidR="00714EA4" w:rsidRPr="00BD6DE6">
        <w:rPr>
          <w:rFonts w:asciiTheme="minorHAnsi" w:hAnsiTheme="minorHAnsi" w:cstheme="minorHAnsi"/>
        </w:rPr>
        <w:t>of the law.</w:t>
      </w:r>
    </w:p>
    <w:p w14:paraId="521DA8CC" w14:textId="77777777" w:rsidR="00C9326D" w:rsidRPr="00262BA3" w:rsidRDefault="00C9326D" w:rsidP="0061574E">
      <w:pPr>
        <w:pStyle w:val="a"/>
        <w:ind w:firstLine="0"/>
        <w:rPr>
          <w:rFonts w:hint="cs"/>
          <w:rtl/>
        </w:rPr>
      </w:pPr>
    </w:p>
    <w:p w14:paraId="70518EA9" w14:textId="1A75AC11" w:rsidR="00E57DDA" w:rsidRDefault="00A67BE2" w:rsidP="00AC156B">
      <w:pPr>
        <w:pStyle w:val="a"/>
        <w:bidi w:val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 its</w:t>
      </w:r>
      <w:r w:rsidRPr="00BD6DE6">
        <w:rPr>
          <w:rFonts w:asciiTheme="minorHAnsi" w:hAnsiTheme="minorHAnsi" w:cstheme="minorHAnsi"/>
        </w:rPr>
        <w:t xml:space="preserve"> first stage</w:t>
      </w:r>
      <w:r>
        <w:rPr>
          <w:rFonts w:asciiTheme="minorHAnsi" w:hAnsiTheme="minorHAnsi" w:cstheme="minorHAnsi"/>
        </w:rPr>
        <w:t>,</w:t>
      </w:r>
      <w:r w:rsidRPr="00BD6DE6">
        <w:rPr>
          <w:rFonts w:asciiTheme="minorHAnsi" w:hAnsiTheme="minorHAnsi" w:cstheme="minorHAnsi"/>
        </w:rPr>
        <w:t xml:space="preserve"> </w:t>
      </w:r>
      <w:r w:rsidR="00BD6DE6" w:rsidRPr="006F26DF">
        <w:rPr>
          <w:rFonts w:asciiTheme="minorHAnsi" w:hAnsiTheme="minorHAnsi" w:cstheme="minorHAnsi"/>
        </w:rPr>
        <w:t>the proposed</w:t>
      </w:r>
      <w:r w:rsidR="006F26DF" w:rsidRPr="006F26DF">
        <w:rPr>
          <w:rFonts w:asciiTheme="minorHAnsi" w:hAnsiTheme="minorHAnsi" w:cstheme="minorHAnsi"/>
        </w:rPr>
        <w:t xml:space="preserve"> </w:t>
      </w:r>
      <w:r w:rsidR="00BD6DE6" w:rsidRPr="006F26DF">
        <w:rPr>
          <w:rFonts w:asciiTheme="minorHAnsi" w:hAnsiTheme="minorHAnsi" w:cstheme="minorHAnsi"/>
        </w:rPr>
        <w:t xml:space="preserve">study </w:t>
      </w:r>
      <w:r w:rsidR="00C273CE">
        <w:rPr>
          <w:rFonts w:asciiTheme="minorHAnsi" w:hAnsiTheme="minorHAnsi" w:cstheme="minorHAnsi"/>
        </w:rPr>
        <w:t xml:space="preserve">aims </w:t>
      </w:r>
      <w:r w:rsidR="00BD6DE6" w:rsidRPr="00BD6DE6">
        <w:rPr>
          <w:rFonts w:asciiTheme="minorHAnsi" w:hAnsiTheme="minorHAnsi" w:cstheme="minorHAnsi"/>
        </w:rPr>
        <w:t xml:space="preserve">to examine </w:t>
      </w:r>
      <w:r w:rsidR="00941663">
        <w:rPr>
          <w:rFonts w:asciiTheme="minorHAnsi" w:hAnsiTheme="minorHAnsi" w:cstheme="minorHAnsi"/>
        </w:rPr>
        <w:t xml:space="preserve">the </w:t>
      </w:r>
      <w:r w:rsidR="00BD6DE6" w:rsidRPr="00BD6DE6">
        <w:rPr>
          <w:rFonts w:asciiTheme="minorHAnsi" w:hAnsiTheme="minorHAnsi" w:cstheme="minorHAnsi"/>
        </w:rPr>
        <w:t xml:space="preserve">possible scenarios in which cyber warfare may constitute one of the four offenses </w:t>
      </w:r>
      <w:r w:rsidR="00E57DDA" w:rsidRPr="00E57DDA">
        <w:rPr>
          <w:rFonts w:asciiTheme="minorHAnsi" w:hAnsiTheme="minorHAnsi" w:cstheme="minorHAnsi"/>
        </w:rPr>
        <w:t xml:space="preserve">within the jurisdiction of </w:t>
      </w:r>
      <w:r w:rsidR="00E57DDA">
        <w:rPr>
          <w:rFonts w:asciiTheme="minorHAnsi" w:hAnsiTheme="minorHAnsi" w:cstheme="minorHAnsi"/>
        </w:rPr>
        <w:t xml:space="preserve">the </w:t>
      </w:r>
      <w:r w:rsidR="00E57DDA" w:rsidRPr="00E57DDA">
        <w:rPr>
          <w:rFonts w:asciiTheme="minorHAnsi" w:hAnsiTheme="minorHAnsi" w:cstheme="minorHAnsi"/>
        </w:rPr>
        <w:t>Inter</w:t>
      </w:r>
      <w:r w:rsidR="00DC5F72">
        <w:rPr>
          <w:rFonts w:asciiTheme="minorHAnsi" w:hAnsiTheme="minorHAnsi" w:cstheme="minorHAnsi"/>
        </w:rPr>
        <w:t>national Court of Justice in</w:t>
      </w:r>
      <w:r w:rsidR="00E57DDA" w:rsidRPr="00E57DDA">
        <w:rPr>
          <w:rFonts w:asciiTheme="minorHAnsi" w:hAnsiTheme="minorHAnsi" w:cstheme="minorHAnsi"/>
        </w:rPr>
        <w:t xml:space="preserve"> Hague, in accordance with Article 5(1) of the Rome Statute:</w:t>
      </w:r>
    </w:p>
    <w:p w14:paraId="6B7162D1" w14:textId="77777777" w:rsidR="00B40DF8" w:rsidRPr="00B40DF8" w:rsidRDefault="00B40DF8" w:rsidP="00B40DF8">
      <w:pPr>
        <w:spacing w:after="0" w:line="240" w:lineRule="auto"/>
        <w:ind w:left="1134" w:right="1134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B40DF8">
        <w:rPr>
          <w:rFonts w:ascii="Times New Roman" w:eastAsia="Times New Roman" w:hAnsi="Times New Roman" w:cs="David"/>
          <w:sz w:val="24"/>
          <w:szCs w:val="24"/>
        </w:rPr>
        <w:t xml:space="preserve">The jurisdiction of the Court shall be limited to the most serious crimes of concern to the international community as a whole. The Court has jurisdiction in accordance with this Statute with respect to the following crimes: </w:t>
      </w:r>
    </w:p>
    <w:p w14:paraId="77E8EBAD" w14:textId="77777777" w:rsidR="00B40DF8" w:rsidRPr="00B40DF8" w:rsidRDefault="00B40DF8" w:rsidP="00B40DF8">
      <w:pPr>
        <w:spacing w:after="0" w:line="240" w:lineRule="auto"/>
        <w:ind w:left="1134" w:right="1134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B40DF8">
        <w:rPr>
          <w:rFonts w:ascii="Times New Roman" w:eastAsia="Times New Roman" w:hAnsi="Times New Roman" w:cs="David"/>
          <w:sz w:val="24"/>
          <w:szCs w:val="24"/>
        </w:rPr>
        <w:t xml:space="preserve">(a) The crime of genocide; </w:t>
      </w:r>
    </w:p>
    <w:p w14:paraId="3DA64083" w14:textId="77777777" w:rsidR="00B40DF8" w:rsidRPr="00B40DF8" w:rsidRDefault="00B40DF8" w:rsidP="00B40DF8">
      <w:pPr>
        <w:spacing w:after="0" w:line="240" w:lineRule="auto"/>
        <w:ind w:left="1134" w:right="1134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B40DF8">
        <w:rPr>
          <w:rFonts w:ascii="Times New Roman" w:eastAsia="Times New Roman" w:hAnsi="Times New Roman" w:cs="David"/>
          <w:sz w:val="24"/>
          <w:szCs w:val="24"/>
        </w:rPr>
        <w:t xml:space="preserve">(b) Crimes against humanity; </w:t>
      </w:r>
    </w:p>
    <w:p w14:paraId="2E05B463" w14:textId="77777777" w:rsidR="00B40DF8" w:rsidRDefault="00B40DF8" w:rsidP="00B40DF8">
      <w:pPr>
        <w:spacing w:after="0" w:line="240" w:lineRule="auto"/>
        <w:ind w:left="1134" w:right="1134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B40DF8">
        <w:rPr>
          <w:rFonts w:ascii="Times New Roman" w:eastAsia="Times New Roman" w:hAnsi="Times New Roman" w:cs="David"/>
          <w:sz w:val="24"/>
          <w:szCs w:val="24"/>
        </w:rPr>
        <w:t xml:space="preserve">(c) War crimes; </w:t>
      </w:r>
    </w:p>
    <w:p w14:paraId="2BE608CA" w14:textId="77777777" w:rsidR="00C9326D" w:rsidRPr="00E37183" w:rsidRDefault="00B40DF8" w:rsidP="00B40DF8">
      <w:pPr>
        <w:spacing w:after="0" w:line="240" w:lineRule="auto"/>
        <w:ind w:left="1134" w:right="1134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5A47BF">
        <w:rPr>
          <w:rFonts w:ascii="Times New Roman" w:eastAsia="Calibri" w:hAnsi="Times New Roman" w:cs="Times New Roman"/>
          <w:sz w:val="24"/>
          <w:szCs w:val="24"/>
        </w:rPr>
        <w:t>(d) The crime of aggression.</w:t>
      </w:r>
    </w:p>
    <w:p w14:paraId="32EC0A85" w14:textId="77777777" w:rsidR="00B55411" w:rsidRDefault="00B55411" w:rsidP="00B55411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071C80D2" w14:textId="037BBF94" w:rsidR="007C2FF1" w:rsidRPr="007C2FF1" w:rsidRDefault="007C2FF1" w:rsidP="00D370CB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7C2FF1">
        <w:rPr>
          <w:rFonts w:cstheme="minorHAnsi"/>
          <w:sz w:val="24"/>
          <w:szCs w:val="24"/>
        </w:rPr>
        <w:t>In the second stage, I would like to examine</w:t>
      </w:r>
      <w:r w:rsidR="00D62C8A">
        <w:rPr>
          <w:rFonts w:cstheme="minorHAnsi"/>
          <w:sz w:val="24"/>
          <w:szCs w:val="24"/>
        </w:rPr>
        <w:t xml:space="preserve"> and evaluate</w:t>
      </w:r>
      <w:r w:rsidRPr="007C2FF1">
        <w:rPr>
          <w:rFonts w:cstheme="minorHAnsi"/>
          <w:sz w:val="24"/>
          <w:szCs w:val="24"/>
        </w:rPr>
        <w:t xml:space="preserve"> the current legal </w:t>
      </w:r>
      <w:r w:rsidR="00D62C8A">
        <w:rPr>
          <w:rFonts w:cstheme="minorHAnsi"/>
          <w:sz w:val="24"/>
          <w:szCs w:val="24"/>
        </w:rPr>
        <w:t>state of affairs</w:t>
      </w:r>
      <w:r w:rsidR="00D370CB">
        <w:rPr>
          <w:rFonts w:cstheme="minorHAnsi"/>
          <w:sz w:val="24"/>
          <w:szCs w:val="24"/>
        </w:rPr>
        <w:t xml:space="preserve"> </w:t>
      </w:r>
      <w:r w:rsidRPr="007C2FF1">
        <w:rPr>
          <w:rFonts w:cstheme="minorHAnsi"/>
          <w:sz w:val="24"/>
          <w:szCs w:val="24"/>
        </w:rPr>
        <w:t xml:space="preserve">in accordance with the </w:t>
      </w:r>
      <w:r w:rsidR="00D370CB" w:rsidRPr="00D370CB">
        <w:rPr>
          <w:rFonts w:cstheme="minorHAnsi"/>
          <w:sz w:val="24"/>
          <w:szCs w:val="24"/>
        </w:rPr>
        <w:t>'</w:t>
      </w:r>
      <w:r w:rsidRPr="00D370CB">
        <w:rPr>
          <w:rFonts w:cstheme="minorHAnsi"/>
          <w:sz w:val="24"/>
          <w:szCs w:val="24"/>
        </w:rPr>
        <w:t xml:space="preserve">elements of the </w:t>
      </w:r>
      <w:r w:rsidR="00D62C8A" w:rsidRPr="00D370CB">
        <w:rPr>
          <w:rFonts w:cstheme="minorHAnsi"/>
          <w:sz w:val="24"/>
          <w:szCs w:val="24"/>
        </w:rPr>
        <w:t>crimes</w:t>
      </w:r>
      <w:r w:rsidR="00D370CB" w:rsidRPr="00D370CB">
        <w:rPr>
          <w:rFonts w:cstheme="minorHAnsi"/>
          <w:sz w:val="24"/>
          <w:szCs w:val="24"/>
        </w:rPr>
        <w:t>'</w:t>
      </w:r>
      <w:r w:rsidRPr="00D370CB">
        <w:rPr>
          <w:rFonts w:cstheme="minorHAnsi"/>
          <w:sz w:val="24"/>
          <w:szCs w:val="24"/>
        </w:rPr>
        <w:t xml:space="preserve">, including the interpretative possibilities that </w:t>
      </w:r>
      <w:r w:rsidR="00C139C7" w:rsidRPr="00D370CB">
        <w:rPr>
          <w:rFonts w:cstheme="minorHAnsi"/>
          <w:sz w:val="24"/>
          <w:szCs w:val="24"/>
        </w:rPr>
        <w:t>the Tribunal</w:t>
      </w:r>
      <w:r w:rsidR="00C139C7">
        <w:rPr>
          <w:rFonts w:cstheme="minorHAnsi"/>
          <w:sz w:val="24"/>
          <w:szCs w:val="24"/>
        </w:rPr>
        <w:t xml:space="preserve"> </w:t>
      </w:r>
      <w:r w:rsidR="00D370CB">
        <w:rPr>
          <w:rFonts w:cstheme="minorHAnsi"/>
          <w:sz w:val="24"/>
          <w:szCs w:val="24"/>
        </w:rPr>
        <w:t>might</w:t>
      </w:r>
      <w:r w:rsidRPr="00D370CB">
        <w:rPr>
          <w:rFonts w:cstheme="minorHAnsi"/>
          <w:sz w:val="24"/>
          <w:szCs w:val="24"/>
        </w:rPr>
        <w:t xml:space="preserve"> face in dealing with </w:t>
      </w:r>
      <w:r w:rsidR="0021049E" w:rsidRPr="00D370CB">
        <w:rPr>
          <w:rFonts w:cstheme="minorHAnsi"/>
          <w:sz w:val="24"/>
          <w:szCs w:val="24"/>
        </w:rPr>
        <w:t>cyber</w:t>
      </w:r>
      <w:r w:rsidR="00D370CB" w:rsidRPr="00D370CB">
        <w:rPr>
          <w:rFonts w:cstheme="minorHAnsi"/>
          <w:sz w:val="24"/>
          <w:szCs w:val="24"/>
        </w:rPr>
        <w:t>-</w:t>
      </w:r>
      <w:r w:rsidR="0021049E" w:rsidRPr="00D370CB">
        <w:rPr>
          <w:rFonts w:cstheme="minorHAnsi"/>
          <w:sz w:val="24"/>
          <w:szCs w:val="24"/>
        </w:rPr>
        <w:t>crimes</w:t>
      </w:r>
      <w:r w:rsidR="0021049E">
        <w:rPr>
          <w:rFonts w:cstheme="minorHAnsi"/>
          <w:sz w:val="24"/>
          <w:szCs w:val="24"/>
        </w:rPr>
        <w:t>.</w:t>
      </w:r>
    </w:p>
    <w:p w14:paraId="2A7E00BC" w14:textId="0200B206" w:rsidR="00671CD7" w:rsidRPr="00671CD7" w:rsidRDefault="00671CD7" w:rsidP="006E4F6F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A8492B">
        <w:rPr>
          <w:rFonts w:cstheme="minorHAnsi"/>
          <w:sz w:val="24"/>
          <w:szCs w:val="24"/>
        </w:rPr>
        <w:t xml:space="preserve">Finally, in the third stage, I would like to propose principles and rules that will disperse some of the legal ambiguity on the subject, and facilitate future </w:t>
      </w:r>
      <w:r w:rsidR="006E4F6F">
        <w:rPr>
          <w:rFonts w:cstheme="minorHAnsi"/>
          <w:sz w:val="24"/>
          <w:szCs w:val="24"/>
        </w:rPr>
        <w:t>dealing</w:t>
      </w:r>
      <w:r w:rsidR="00C139C7">
        <w:rPr>
          <w:rFonts w:cstheme="minorHAnsi"/>
          <w:sz w:val="24"/>
          <w:szCs w:val="24"/>
        </w:rPr>
        <w:t>s</w:t>
      </w:r>
      <w:r w:rsidRPr="00A8492B">
        <w:rPr>
          <w:rFonts w:cstheme="minorHAnsi"/>
          <w:sz w:val="24"/>
          <w:szCs w:val="24"/>
        </w:rPr>
        <w:t xml:space="preserve"> with cyber</w:t>
      </w:r>
      <w:r w:rsidR="00A8492B">
        <w:rPr>
          <w:rFonts w:cstheme="minorHAnsi"/>
          <w:sz w:val="24"/>
          <w:szCs w:val="24"/>
        </w:rPr>
        <w:t>-</w:t>
      </w:r>
      <w:r w:rsidRPr="00A8492B">
        <w:rPr>
          <w:rFonts w:cstheme="minorHAnsi"/>
          <w:sz w:val="24"/>
          <w:szCs w:val="24"/>
        </w:rPr>
        <w:t>crimes in international criminal law.</w:t>
      </w:r>
    </w:p>
    <w:sectPr w:rsidR="00671CD7" w:rsidRPr="00671CD7" w:rsidSect="0025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23CDC" w14:textId="77777777" w:rsidR="00AC3C9D" w:rsidRDefault="00AC3C9D" w:rsidP="0014652F">
      <w:pPr>
        <w:spacing w:after="0" w:line="240" w:lineRule="auto"/>
      </w:pPr>
      <w:r>
        <w:separator/>
      </w:r>
    </w:p>
  </w:endnote>
  <w:endnote w:type="continuationSeparator" w:id="0">
    <w:p w14:paraId="521C89AF" w14:textId="77777777" w:rsidR="00AC3C9D" w:rsidRDefault="00AC3C9D" w:rsidP="0014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4BFBD" w14:textId="77777777" w:rsidR="00AC3C9D" w:rsidRDefault="00AC3C9D" w:rsidP="0014652F">
      <w:pPr>
        <w:spacing w:after="0" w:line="240" w:lineRule="auto"/>
      </w:pPr>
      <w:r>
        <w:separator/>
      </w:r>
    </w:p>
  </w:footnote>
  <w:footnote w:type="continuationSeparator" w:id="0">
    <w:p w14:paraId="52A123CC" w14:textId="77777777" w:rsidR="00AC3C9D" w:rsidRDefault="00AC3C9D" w:rsidP="0014652F">
      <w:pPr>
        <w:spacing w:after="0" w:line="240" w:lineRule="auto"/>
      </w:pPr>
      <w:r>
        <w:continuationSeparator/>
      </w:r>
    </w:p>
  </w:footnote>
  <w:footnote w:id="1">
    <w:p w14:paraId="2FB71415" w14:textId="77777777" w:rsidR="008E7254" w:rsidRPr="00852403" w:rsidRDefault="008E7254" w:rsidP="00777056">
      <w:pPr>
        <w:pStyle w:val="a1"/>
        <w:bidi w:val="0"/>
        <w:rPr>
          <w:rFonts w:eastAsia="Calibri"/>
          <w:rtl/>
        </w:rPr>
      </w:pPr>
      <w:r w:rsidRPr="00852403">
        <w:rPr>
          <w:rStyle w:val="FootnoteReference"/>
        </w:rPr>
        <w:footnoteRef/>
      </w:r>
      <w:r w:rsidRPr="00852403">
        <w:rPr>
          <w:rtl/>
        </w:rPr>
        <w:t xml:space="preserve"> </w:t>
      </w:r>
      <w:r w:rsidRPr="00852403">
        <w:rPr>
          <w:rtl/>
        </w:rPr>
        <w:tab/>
      </w:r>
      <w:r w:rsidRPr="00852403">
        <w:rPr>
          <w:rFonts w:eastAsia="Calibri"/>
        </w:rPr>
        <w:t xml:space="preserve">Knut </w:t>
      </w:r>
      <w:proofErr w:type="spellStart"/>
      <w:r w:rsidRPr="00852403">
        <w:rPr>
          <w:rFonts w:eastAsia="Calibri"/>
        </w:rPr>
        <w:t>Dormann</w:t>
      </w:r>
      <w:proofErr w:type="spellEnd"/>
      <w:r w:rsidRPr="00852403">
        <w:rPr>
          <w:rFonts w:eastAsia="Calibri"/>
        </w:rPr>
        <w:t xml:space="preserve">, </w:t>
      </w:r>
      <w:r w:rsidRPr="00852403">
        <w:rPr>
          <w:rFonts w:eastAsia="Calibri"/>
          <w:i/>
          <w:iCs/>
        </w:rPr>
        <w:t xml:space="preserve">Elements of War Crimes under the </w:t>
      </w:r>
      <w:smartTag w:uri="urn:schemas-microsoft-com:office:smarttags" w:element="place">
        <w:smartTag w:uri="urn:schemas-microsoft-com:office:smarttags" w:element="City">
          <w:r w:rsidRPr="00852403">
            <w:rPr>
              <w:rFonts w:eastAsia="Calibri"/>
              <w:i/>
              <w:iCs/>
            </w:rPr>
            <w:t>Rome</w:t>
          </w:r>
        </w:smartTag>
      </w:smartTag>
      <w:r w:rsidRPr="00852403">
        <w:rPr>
          <w:rFonts w:eastAsia="Calibri"/>
          <w:i/>
          <w:iCs/>
        </w:rPr>
        <w:t xml:space="preserve"> Statute of the International Criminal Court: Sources and Commentary</w:t>
      </w:r>
      <w:r w:rsidRPr="00852403">
        <w:rPr>
          <w:rFonts w:eastAsia="Calibri"/>
        </w:rPr>
        <w:t xml:space="preserve"> (2003) p. 8</w:t>
      </w:r>
      <w:r>
        <w:rPr>
          <w:rFonts w:eastAsia="Calibri"/>
        </w:rPr>
        <w:t>.</w:t>
      </w:r>
      <w:r w:rsidRPr="00852403">
        <w:rPr>
          <w:rFonts w:eastAsia="Calibri"/>
          <w:rtl/>
        </w:rPr>
        <w:t xml:space="preserve"> </w:t>
      </w:r>
    </w:p>
  </w:footnote>
  <w:footnote w:id="2">
    <w:p w14:paraId="0DB3AA29" w14:textId="77777777" w:rsidR="002C1689" w:rsidRPr="00852403" w:rsidRDefault="002C1689" w:rsidP="002C1689">
      <w:pPr>
        <w:pStyle w:val="a1"/>
        <w:bidi w:val="0"/>
        <w:rPr>
          <w:rtl/>
        </w:rPr>
      </w:pPr>
      <w:r w:rsidRPr="00852403">
        <w:rPr>
          <w:rStyle w:val="FootnoteReference"/>
        </w:rPr>
        <w:footnoteRef/>
      </w:r>
      <w:r>
        <w:rPr>
          <w:rFonts w:hint="cs"/>
          <w:rtl/>
        </w:rPr>
        <w:t xml:space="preserve">   </w:t>
      </w:r>
      <w:r w:rsidRPr="00852403">
        <w:rPr>
          <w:rtl/>
        </w:rPr>
        <w:t xml:space="preserve"> </w:t>
      </w:r>
      <w:r w:rsidRPr="00852403">
        <w:rPr>
          <w:rStyle w:val="st1"/>
          <w:color w:val="000000"/>
        </w:rPr>
        <w:t>William</w:t>
      </w:r>
      <w:r w:rsidRPr="00852403">
        <w:rPr>
          <w:rStyle w:val="st1"/>
          <w:color w:val="222222"/>
        </w:rPr>
        <w:t xml:space="preserve"> A. </w:t>
      </w:r>
      <w:r w:rsidRPr="00852403">
        <w:rPr>
          <w:rStyle w:val="st1"/>
          <w:color w:val="000000"/>
        </w:rPr>
        <w:t xml:space="preserve">Schabas, </w:t>
      </w:r>
      <w:r w:rsidRPr="00852403">
        <w:rPr>
          <w:rStyle w:val="st1"/>
          <w:i/>
          <w:iCs/>
          <w:color w:val="000000"/>
        </w:rPr>
        <w:t xml:space="preserve">The International Criminal Court: A Commentary on the </w:t>
      </w:r>
      <w:smartTag w:uri="urn:schemas-microsoft-com:office:smarttags" w:element="place">
        <w:smartTag w:uri="urn:schemas-microsoft-com:office:smarttags" w:element="City">
          <w:r w:rsidRPr="00852403">
            <w:rPr>
              <w:rStyle w:val="st1"/>
              <w:i/>
              <w:iCs/>
              <w:color w:val="000000"/>
            </w:rPr>
            <w:t>Rome</w:t>
          </w:r>
        </w:smartTag>
      </w:smartTag>
      <w:r w:rsidRPr="00852403">
        <w:rPr>
          <w:rStyle w:val="st1"/>
          <w:color w:val="222222"/>
        </w:rPr>
        <w:t xml:space="preserve"> (</w:t>
      </w:r>
      <w:r w:rsidRPr="00852403">
        <w:rPr>
          <w:rStyle w:val="st1"/>
          <w:color w:val="000000"/>
        </w:rPr>
        <w:t>2010) p. 386.</w:t>
      </w:r>
    </w:p>
  </w:footnote>
  <w:footnote w:id="3">
    <w:p w14:paraId="55BF0C42" w14:textId="77777777" w:rsidR="008E7254" w:rsidRPr="00852403" w:rsidRDefault="008E7254" w:rsidP="00777056">
      <w:pPr>
        <w:pStyle w:val="a1"/>
        <w:bidi w:val="0"/>
        <w:rPr>
          <w:rFonts w:eastAsia="Calibri"/>
          <w:rtl/>
        </w:rPr>
      </w:pPr>
      <w:r w:rsidRPr="00852403">
        <w:rPr>
          <w:rStyle w:val="FootnoteReference"/>
        </w:rPr>
        <w:footnoteRef/>
      </w:r>
      <w:r w:rsidRPr="00852403">
        <w:rPr>
          <w:rtl/>
        </w:rPr>
        <w:t xml:space="preserve"> </w:t>
      </w:r>
      <w:r w:rsidRPr="00852403">
        <w:rPr>
          <w:rFonts w:eastAsia="Calibri"/>
        </w:rPr>
        <w:t>Preparatory Commission for the Int'l Criminal Court, Finalized Draft Text of the Elements of Crimes,</w:t>
      </w:r>
      <w:r w:rsidRPr="00852403">
        <w:rPr>
          <w:rFonts w:eastAsia="Calibri"/>
          <w:i/>
          <w:iCs/>
        </w:rPr>
        <w:t xml:space="preserve"> </w:t>
      </w:r>
      <w:r w:rsidRPr="00852403">
        <w:rPr>
          <w:rFonts w:eastAsia="Calibri"/>
        </w:rPr>
        <w:t>U.N. Doc. PCNICC/2000/I/Add.2 (Nov. 2, 2000)</w:t>
      </w:r>
      <w:r w:rsidRPr="00852403">
        <w:rPr>
          <w:rFonts w:eastAsia="Calibri"/>
          <w:rtl/>
        </w:rPr>
        <w:t xml:space="preserve"> (להלן: </w:t>
      </w:r>
      <w:r w:rsidRPr="00852403">
        <w:rPr>
          <w:rFonts w:eastAsia="Calibri"/>
        </w:rPr>
        <w:t>"Elements of Crimes"</w:t>
      </w:r>
      <w:r w:rsidRPr="00852403">
        <w:rPr>
          <w:rFonts w:eastAsia="Calibri"/>
          <w:rtl/>
        </w:rPr>
        <w:t xml:space="preserve">). ניתן לצפייה באתר: </w:t>
      </w:r>
      <w:hyperlink r:id="rId1" w:history="1">
        <w:r w:rsidRPr="00852403">
          <w:rPr>
            <w:rStyle w:val="Hyperlink"/>
            <w:rFonts w:eastAsia="Calibri"/>
          </w:rPr>
          <w:t>http://www.icc-cpi.int/NR/rdonlyres/ADD16852-AEE9-4757-ABE7-9CDC7CF02886/283503/RomeStatutEng1.pdf</w:t>
        </w:r>
      </w:hyperlink>
      <w:r w:rsidRPr="00852403">
        <w:rPr>
          <w:rFonts w:eastAsia="Calibri"/>
          <w:rtl/>
        </w:rPr>
        <w:t xml:space="preserve">: </w:t>
      </w:r>
      <w:r w:rsidRPr="00852403">
        <w:rPr>
          <w:rFonts w:eastAsia="Calibri"/>
        </w:rPr>
        <w:t>“Pursuant to article 9, the following Elements of Crimes shall assist the Court in the interpretation and application of articles 6, 7 and 8, consistent with the Statute. The provisions of the Statute, including article 21 and the general principles set out in Part 3, are applicable to the Elements of Crimes”</w:t>
      </w:r>
      <w:r w:rsidRPr="00852403">
        <w:rPr>
          <w:rFonts w:eastAsia="Calibri"/>
          <w:rtl/>
        </w:rPr>
        <w:t xml:space="preserve"> (שם בעמ' 1).</w:t>
      </w:r>
    </w:p>
  </w:footnote>
  <w:footnote w:id="4">
    <w:p w14:paraId="3F1315F4" w14:textId="77777777" w:rsidR="008E7254" w:rsidRDefault="008E7254" w:rsidP="00777056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7C47A8">
        <w:rPr>
          <w:rFonts w:asciiTheme="majorBidi" w:hAnsiTheme="majorBidi" w:cstheme="majorBidi"/>
        </w:rPr>
        <w:t xml:space="preserve">Jeremy Waldron, "Vagueness in Law and Language: Some Philosophical Issues", 82 </w:t>
      </w:r>
      <w:r w:rsidRPr="007C47A8">
        <w:rPr>
          <w:rFonts w:asciiTheme="majorBidi" w:hAnsiTheme="majorBidi" w:cstheme="majorBidi"/>
          <w:i/>
          <w:iCs/>
        </w:rPr>
        <w:t>Cal. L. Rev.</w:t>
      </w:r>
      <w:r w:rsidRPr="007C47A8">
        <w:rPr>
          <w:rFonts w:asciiTheme="majorBidi" w:hAnsiTheme="majorBidi" w:cstheme="majorBidi"/>
        </w:rPr>
        <w:t xml:space="preserve"> (1994) 509, p. 537</w:t>
      </w:r>
      <w:r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3C4"/>
    <w:multiLevelType w:val="hybridMultilevel"/>
    <w:tmpl w:val="71A2C230"/>
    <w:lvl w:ilvl="0" w:tplc="4FA600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2F"/>
    <w:rsid w:val="00003A97"/>
    <w:rsid w:val="00006FC2"/>
    <w:rsid w:val="00041934"/>
    <w:rsid w:val="000610C8"/>
    <w:rsid w:val="00064F29"/>
    <w:rsid w:val="00085495"/>
    <w:rsid w:val="000F1C41"/>
    <w:rsid w:val="0010471D"/>
    <w:rsid w:val="0012025A"/>
    <w:rsid w:val="00121D64"/>
    <w:rsid w:val="001435F9"/>
    <w:rsid w:val="0014652F"/>
    <w:rsid w:val="00162204"/>
    <w:rsid w:val="00171D62"/>
    <w:rsid w:val="001A1410"/>
    <w:rsid w:val="001A2910"/>
    <w:rsid w:val="001B08CD"/>
    <w:rsid w:val="001C263A"/>
    <w:rsid w:val="001D08E6"/>
    <w:rsid w:val="001D5665"/>
    <w:rsid w:val="001E2B79"/>
    <w:rsid w:val="001E38BA"/>
    <w:rsid w:val="0020256F"/>
    <w:rsid w:val="00202F63"/>
    <w:rsid w:val="0021049E"/>
    <w:rsid w:val="00222185"/>
    <w:rsid w:val="002302AE"/>
    <w:rsid w:val="00245778"/>
    <w:rsid w:val="002511F7"/>
    <w:rsid w:val="00256115"/>
    <w:rsid w:val="00260233"/>
    <w:rsid w:val="00262BA3"/>
    <w:rsid w:val="0029489E"/>
    <w:rsid w:val="002A0FEF"/>
    <w:rsid w:val="002B40F3"/>
    <w:rsid w:val="002B43C6"/>
    <w:rsid w:val="002C1689"/>
    <w:rsid w:val="002E1CCD"/>
    <w:rsid w:val="003000DA"/>
    <w:rsid w:val="003A5D18"/>
    <w:rsid w:val="00404914"/>
    <w:rsid w:val="00454951"/>
    <w:rsid w:val="00460CE6"/>
    <w:rsid w:val="00494EF2"/>
    <w:rsid w:val="004B3B39"/>
    <w:rsid w:val="004E23B3"/>
    <w:rsid w:val="00517A58"/>
    <w:rsid w:val="005968CB"/>
    <w:rsid w:val="005A23F4"/>
    <w:rsid w:val="005A47BF"/>
    <w:rsid w:val="0061574E"/>
    <w:rsid w:val="00671CD7"/>
    <w:rsid w:val="00684DFA"/>
    <w:rsid w:val="00690F55"/>
    <w:rsid w:val="006D3F81"/>
    <w:rsid w:val="006E4F6F"/>
    <w:rsid w:val="006F26DF"/>
    <w:rsid w:val="00704903"/>
    <w:rsid w:val="00707448"/>
    <w:rsid w:val="00714EA4"/>
    <w:rsid w:val="00725D46"/>
    <w:rsid w:val="00745E3E"/>
    <w:rsid w:val="00777056"/>
    <w:rsid w:val="007962BF"/>
    <w:rsid w:val="007C0C49"/>
    <w:rsid w:val="007C2FF1"/>
    <w:rsid w:val="007C3DC6"/>
    <w:rsid w:val="007C47A8"/>
    <w:rsid w:val="00803C2D"/>
    <w:rsid w:val="008213CE"/>
    <w:rsid w:val="0082544E"/>
    <w:rsid w:val="00856149"/>
    <w:rsid w:val="00890635"/>
    <w:rsid w:val="00896506"/>
    <w:rsid w:val="008C5C66"/>
    <w:rsid w:val="008E574A"/>
    <w:rsid w:val="008E7254"/>
    <w:rsid w:val="0090224B"/>
    <w:rsid w:val="00914173"/>
    <w:rsid w:val="00915772"/>
    <w:rsid w:val="00916EB7"/>
    <w:rsid w:val="00935F9A"/>
    <w:rsid w:val="009414FA"/>
    <w:rsid w:val="00941663"/>
    <w:rsid w:val="009521A4"/>
    <w:rsid w:val="009627CB"/>
    <w:rsid w:val="0098358C"/>
    <w:rsid w:val="00995F48"/>
    <w:rsid w:val="00996D45"/>
    <w:rsid w:val="009B1091"/>
    <w:rsid w:val="009B5442"/>
    <w:rsid w:val="009D4424"/>
    <w:rsid w:val="00A61AD9"/>
    <w:rsid w:val="00A67BE2"/>
    <w:rsid w:val="00A72CCA"/>
    <w:rsid w:val="00A8492B"/>
    <w:rsid w:val="00AB3C2E"/>
    <w:rsid w:val="00AC156B"/>
    <w:rsid w:val="00AC3C9D"/>
    <w:rsid w:val="00AF2E7F"/>
    <w:rsid w:val="00B0154B"/>
    <w:rsid w:val="00B104B0"/>
    <w:rsid w:val="00B154D1"/>
    <w:rsid w:val="00B20089"/>
    <w:rsid w:val="00B32B90"/>
    <w:rsid w:val="00B40DF8"/>
    <w:rsid w:val="00B55411"/>
    <w:rsid w:val="00B90B91"/>
    <w:rsid w:val="00BB135C"/>
    <w:rsid w:val="00BD01B8"/>
    <w:rsid w:val="00BD6DE6"/>
    <w:rsid w:val="00C139C7"/>
    <w:rsid w:val="00C273CE"/>
    <w:rsid w:val="00C91545"/>
    <w:rsid w:val="00C9326D"/>
    <w:rsid w:val="00CD38AD"/>
    <w:rsid w:val="00D2057D"/>
    <w:rsid w:val="00D370CB"/>
    <w:rsid w:val="00D40524"/>
    <w:rsid w:val="00D5038B"/>
    <w:rsid w:val="00D62C8A"/>
    <w:rsid w:val="00D651D0"/>
    <w:rsid w:val="00D93507"/>
    <w:rsid w:val="00DA4C2A"/>
    <w:rsid w:val="00DC5F72"/>
    <w:rsid w:val="00DC6F5C"/>
    <w:rsid w:val="00DD1B2D"/>
    <w:rsid w:val="00DD49E7"/>
    <w:rsid w:val="00DE07AC"/>
    <w:rsid w:val="00DF670D"/>
    <w:rsid w:val="00E3269C"/>
    <w:rsid w:val="00E37183"/>
    <w:rsid w:val="00E500BD"/>
    <w:rsid w:val="00E50CDF"/>
    <w:rsid w:val="00E57DDA"/>
    <w:rsid w:val="00E72711"/>
    <w:rsid w:val="00E95141"/>
    <w:rsid w:val="00EA2686"/>
    <w:rsid w:val="00EA6CE4"/>
    <w:rsid w:val="00EE4E97"/>
    <w:rsid w:val="00F13546"/>
    <w:rsid w:val="00F14D36"/>
    <w:rsid w:val="00F91044"/>
    <w:rsid w:val="00FC3F73"/>
    <w:rsid w:val="00FD792F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91EF2C0"/>
  <w15:docId w15:val="{BA6D9FE3-AC67-4255-8D64-641B0106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F7"/>
  </w:style>
  <w:style w:type="paragraph" w:styleId="Heading3">
    <w:name w:val="heading 3"/>
    <w:basedOn w:val="Normal"/>
    <w:next w:val="Normal"/>
    <w:link w:val="Heading3Char"/>
    <w:uiPriority w:val="99"/>
    <w:qFormat/>
    <w:rsid w:val="0014652F"/>
    <w:pPr>
      <w:keepNext/>
      <w:bidi/>
      <w:spacing w:after="0" w:line="360" w:lineRule="auto"/>
      <w:outlineLvl w:val="2"/>
    </w:pPr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652F"/>
    <w:pPr>
      <w:keepNext/>
      <w:tabs>
        <w:tab w:val="left" w:pos="5560"/>
      </w:tabs>
      <w:bidi/>
      <w:spacing w:after="0" w:line="360" w:lineRule="auto"/>
      <w:ind w:right="180"/>
      <w:outlineLvl w:val="3"/>
    </w:pPr>
    <w:rPr>
      <w:rFonts w:ascii="Courier New" w:eastAsia="Times New Roman" w:hAnsi="Courier New" w:cs="Courier New"/>
      <w:b/>
      <w:bCs/>
      <w:color w:val="000000"/>
      <w:sz w:val="24"/>
      <w:szCs w:val="24"/>
      <w:lang w:val="hy-AM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טקסט"/>
    <w:basedOn w:val="Normal"/>
    <w:link w:val="a0"/>
    <w:qFormat/>
    <w:rsid w:val="0014652F"/>
    <w:pPr>
      <w:bidi/>
      <w:spacing w:after="0" w:line="360" w:lineRule="auto"/>
      <w:ind w:firstLine="510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FootnoteReference">
    <w:name w:val="footnote reference"/>
    <w:basedOn w:val="DefaultParagraphFont"/>
    <w:rsid w:val="0014652F"/>
    <w:rPr>
      <w:rFonts w:ascii="Times New Roman" w:hAnsi="Times New Roman" w:cs="Times New Roman"/>
      <w:vertAlign w:val="superscript"/>
    </w:rPr>
  </w:style>
  <w:style w:type="paragraph" w:customStyle="1" w:styleId="a1">
    <w:name w:val="הערות שוליים"/>
    <w:basedOn w:val="a"/>
    <w:link w:val="a2"/>
    <w:qFormat/>
    <w:rsid w:val="0014652F"/>
    <w:pPr>
      <w:spacing w:before="120" w:after="120" w:line="240" w:lineRule="auto"/>
      <w:ind w:left="284" w:hanging="284"/>
    </w:pPr>
    <w:rPr>
      <w:rFonts w:cs="Times New Roman"/>
      <w:sz w:val="20"/>
      <w:szCs w:val="20"/>
    </w:rPr>
  </w:style>
  <w:style w:type="character" w:customStyle="1" w:styleId="a0">
    <w:name w:val="טקסט תו"/>
    <w:basedOn w:val="DefaultParagraphFont"/>
    <w:link w:val="a"/>
    <w:rsid w:val="0014652F"/>
    <w:rPr>
      <w:rFonts w:ascii="Times New Roman" w:eastAsia="Times New Roman" w:hAnsi="Times New Roman" w:cs="David"/>
      <w:sz w:val="24"/>
      <w:szCs w:val="24"/>
    </w:rPr>
  </w:style>
  <w:style w:type="character" w:customStyle="1" w:styleId="a2">
    <w:name w:val="הערות שוליים תו"/>
    <w:basedOn w:val="a0"/>
    <w:link w:val="a1"/>
    <w:rsid w:val="0014652F"/>
    <w:rPr>
      <w:rFonts w:ascii="Times New Roman" w:eastAsia="Times New Roman" w:hAnsi="Times New Roman" w:cs="Times New Roman"/>
      <w:sz w:val="20"/>
      <w:szCs w:val="20"/>
    </w:rPr>
  </w:style>
  <w:style w:type="character" w:customStyle="1" w:styleId="st1">
    <w:name w:val="st1"/>
    <w:basedOn w:val="DefaultParagraphFont"/>
    <w:rsid w:val="0014652F"/>
  </w:style>
  <w:style w:type="character" w:customStyle="1" w:styleId="Heading3Char">
    <w:name w:val="Heading 3 Char"/>
    <w:basedOn w:val="DefaultParagraphFont"/>
    <w:link w:val="Heading3"/>
    <w:uiPriority w:val="99"/>
    <w:rsid w:val="0014652F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14652F"/>
    <w:rPr>
      <w:rFonts w:ascii="Courier New" w:eastAsia="Times New Roman" w:hAnsi="Courier New" w:cs="Courier New"/>
      <w:b/>
      <w:bCs/>
      <w:color w:val="000000"/>
      <w:sz w:val="24"/>
      <w:szCs w:val="24"/>
      <w:lang w:val="hy-AM" w:eastAsia="he-IL"/>
    </w:rPr>
  </w:style>
  <w:style w:type="paragraph" w:customStyle="1" w:styleId="a3">
    <w:name w:val="ציטוט מוזח"/>
    <w:basedOn w:val="Normal"/>
    <w:link w:val="a4"/>
    <w:qFormat/>
    <w:rsid w:val="0014652F"/>
    <w:pPr>
      <w:bidi/>
      <w:spacing w:after="0" w:line="240" w:lineRule="auto"/>
      <w:ind w:left="1134" w:right="1134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DefaultParagraphFont"/>
    <w:uiPriority w:val="99"/>
    <w:rsid w:val="0014652F"/>
    <w:rPr>
      <w:color w:val="0000FF"/>
      <w:u w:val="single"/>
    </w:rPr>
  </w:style>
  <w:style w:type="character" w:customStyle="1" w:styleId="a4">
    <w:name w:val="ציטוט מוזח תו"/>
    <w:basedOn w:val="DefaultParagraphFont"/>
    <w:link w:val="a3"/>
    <w:rsid w:val="0014652F"/>
    <w:rPr>
      <w:rFonts w:ascii="Times New Roman" w:eastAsia="Times New Roman" w:hAnsi="Times New Roman" w:cs="Davi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D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DFA"/>
    <w:rPr>
      <w:sz w:val="20"/>
      <w:szCs w:val="20"/>
    </w:rPr>
  </w:style>
  <w:style w:type="paragraph" w:customStyle="1" w:styleId="a5">
    <w:name w:val="שם מאמר"/>
    <w:basedOn w:val="Normal"/>
    <w:link w:val="a6"/>
    <w:qFormat/>
    <w:rsid w:val="00B40DF8"/>
    <w:pPr>
      <w:bidi/>
      <w:spacing w:after="0" w:line="360" w:lineRule="auto"/>
      <w:jc w:val="center"/>
    </w:pPr>
    <w:rPr>
      <w:rFonts w:ascii="Times New Roman" w:eastAsia="Times New Roman" w:hAnsi="Times New Roman" w:cs="David"/>
      <w:bCs/>
      <w:sz w:val="24"/>
      <w:szCs w:val="40"/>
    </w:rPr>
  </w:style>
  <w:style w:type="character" w:customStyle="1" w:styleId="a6">
    <w:name w:val="שם מאמר תו"/>
    <w:basedOn w:val="DefaultParagraphFont"/>
    <w:link w:val="a5"/>
    <w:rsid w:val="00B40DF8"/>
    <w:rPr>
      <w:rFonts w:ascii="Times New Roman" w:eastAsia="Times New Roman" w:hAnsi="Times New Roman" w:cs="David"/>
      <w:bCs/>
      <w:sz w:val="24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B20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0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-cpi.int/NR/rdonlyres/ADD16852-AEE9-4757-ABE7-9CDC7CF02886/283503/RomeStatutEng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A96B-D490-4BC1-9499-53F0AA28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עדי ליבסקר חזות</cp:lastModifiedBy>
  <cp:revision>2</cp:revision>
  <dcterms:created xsi:type="dcterms:W3CDTF">2017-04-20T11:19:00Z</dcterms:created>
  <dcterms:modified xsi:type="dcterms:W3CDTF">2017-04-20T11:19:00Z</dcterms:modified>
</cp:coreProperties>
</file>