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8E" w:rsidRDefault="00732D2B" w:rsidP="00732D2B">
      <w:pPr>
        <w:pStyle w:val="NoSpacing"/>
        <w:jc w:val="center"/>
        <w:rPr>
          <w:b/>
        </w:rPr>
      </w:pPr>
      <w:r w:rsidRPr="00136CB4">
        <w:rPr>
          <w:b/>
        </w:rPr>
        <w:t xml:space="preserve">Hebrew University &amp; University of Essex Surveillance Workshop Series </w:t>
      </w:r>
    </w:p>
    <w:p w:rsidR="00732D2B" w:rsidRPr="00136CB4" w:rsidRDefault="00732D2B" w:rsidP="00732D2B">
      <w:pPr>
        <w:pStyle w:val="NoSpacing"/>
        <w:jc w:val="center"/>
        <w:rPr>
          <w:b/>
        </w:rPr>
      </w:pPr>
      <w:proofErr w:type="gramStart"/>
      <w:r w:rsidRPr="00136CB4">
        <w:rPr>
          <w:b/>
        </w:rPr>
        <w:t>in</w:t>
      </w:r>
      <w:proofErr w:type="gramEnd"/>
      <w:r w:rsidRPr="00136CB4">
        <w:rPr>
          <w:b/>
        </w:rPr>
        <w:t xml:space="preserve"> collaboration with the Investigatory Powers Commissioner’s Office </w:t>
      </w:r>
    </w:p>
    <w:p w:rsidR="00732D2B" w:rsidRPr="00136CB4" w:rsidRDefault="00732D2B" w:rsidP="00732D2B">
      <w:pPr>
        <w:pStyle w:val="NoSpacing"/>
        <w:jc w:val="center"/>
        <w:rPr>
          <w:b/>
        </w:rPr>
      </w:pPr>
    </w:p>
    <w:p w:rsidR="001C126B" w:rsidRPr="00136CB4" w:rsidRDefault="001C126B" w:rsidP="003614A0">
      <w:pPr>
        <w:jc w:val="center"/>
        <w:rPr>
          <w:b/>
          <w:sz w:val="24"/>
          <w:szCs w:val="24"/>
        </w:rPr>
      </w:pPr>
      <w:r w:rsidRPr="00136CB4">
        <w:rPr>
          <w:b/>
          <w:sz w:val="24"/>
          <w:szCs w:val="24"/>
        </w:rPr>
        <w:t xml:space="preserve">Investigatory Powers Commissioner(s) and </w:t>
      </w:r>
      <w:r w:rsidR="003614A0" w:rsidRPr="00136CB4">
        <w:rPr>
          <w:b/>
          <w:sz w:val="24"/>
          <w:szCs w:val="24"/>
        </w:rPr>
        <w:t>J</w:t>
      </w:r>
      <w:r w:rsidRPr="00136CB4">
        <w:rPr>
          <w:b/>
          <w:sz w:val="24"/>
          <w:szCs w:val="24"/>
        </w:rPr>
        <w:t xml:space="preserve">udicial </w:t>
      </w:r>
      <w:r w:rsidR="003614A0" w:rsidRPr="00136CB4">
        <w:rPr>
          <w:b/>
          <w:sz w:val="24"/>
          <w:szCs w:val="24"/>
        </w:rPr>
        <w:t>R</w:t>
      </w:r>
      <w:r w:rsidRPr="00136CB4">
        <w:rPr>
          <w:b/>
          <w:sz w:val="24"/>
          <w:szCs w:val="24"/>
        </w:rPr>
        <w:t xml:space="preserve">eview </w:t>
      </w:r>
    </w:p>
    <w:p w:rsidR="003614A0" w:rsidRPr="00136CB4" w:rsidRDefault="003614A0" w:rsidP="003614A0">
      <w:pPr>
        <w:jc w:val="center"/>
        <w:rPr>
          <w:sz w:val="24"/>
          <w:szCs w:val="24"/>
        </w:rPr>
      </w:pPr>
      <w:r w:rsidRPr="00136CB4">
        <w:rPr>
          <w:sz w:val="24"/>
          <w:szCs w:val="24"/>
        </w:rPr>
        <w:t xml:space="preserve"> </w:t>
      </w:r>
      <w:r w:rsidR="00AC3370" w:rsidRPr="00136CB4">
        <w:rPr>
          <w:sz w:val="24"/>
          <w:szCs w:val="24"/>
        </w:rPr>
        <w:t>W</w:t>
      </w:r>
      <w:r w:rsidRPr="00136CB4">
        <w:rPr>
          <w:sz w:val="24"/>
          <w:szCs w:val="24"/>
        </w:rPr>
        <w:t>orkshop</w:t>
      </w:r>
    </w:p>
    <w:p w:rsidR="00AC3370" w:rsidRPr="00136CB4" w:rsidRDefault="00AC3370" w:rsidP="003614A0">
      <w:pPr>
        <w:jc w:val="center"/>
        <w:rPr>
          <w:sz w:val="24"/>
          <w:szCs w:val="24"/>
        </w:rPr>
      </w:pPr>
      <w:r w:rsidRPr="00136CB4">
        <w:rPr>
          <w:sz w:val="24"/>
          <w:szCs w:val="24"/>
        </w:rPr>
        <w:t xml:space="preserve">Landmark Chambers London </w:t>
      </w:r>
    </w:p>
    <w:p w:rsidR="00AC3370" w:rsidRPr="00136CB4" w:rsidRDefault="00AC3370" w:rsidP="00AC3370">
      <w:pPr>
        <w:jc w:val="center"/>
        <w:rPr>
          <w:sz w:val="24"/>
          <w:szCs w:val="24"/>
        </w:rPr>
      </w:pPr>
      <w:r w:rsidRPr="00136CB4">
        <w:rPr>
          <w:sz w:val="24"/>
          <w:szCs w:val="24"/>
        </w:rPr>
        <w:t>14 March 2018</w:t>
      </w:r>
    </w:p>
    <w:p w:rsidR="0083106E" w:rsidRPr="00136CB4" w:rsidRDefault="0083106E" w:rsidP="00AC3370">
      <w:pPr>
        <w:jc w:val="center"/>
        <w:rPr>
          <w:sz w:val="24"/>
          <w:szCs w:val="24"/>
        </w:rPr>
      </w:pPr>
      <w:r w:rsidRPr="00136CB4">
        <w:rPr>
          <w:sz w:val="24"/>
          <w:szCs w:val="24"/>
        </w:rPr>
        <w:t>10.30 -1</w:t>
      </w:r>
      <w:r w:rsidR="00136CB4" w:rsidRPr="00136CB4">
        <w:rPr>
          <w:sz w:val="24"/>
          <w:szCs w:val="24"/>
        </w:rPr>
        <w:t xml:space="preserve">6.30 </w:t>
      </w:r>
    </w:p>
    <w:p w:rsidR="0083106E" w:rsidRPr="00136CB4" w:rsidRDefault="0083106E" w:rsidP="00136CB4">
      <w:pPr>
        <w:pStyle w:val="NoSpacing"/>
        <w:ind w:firstLine="720"/>
        <w:jc w:val="center"/>
        <w:rPr>
          <w:b/>
        </w:rPr>
      </w:pPr>
      <w:r w:rsidRPr="00136CB4">
        <w:rPr>
          <w:b/>
        </w:rPr>
        <w:t>The meeting will be held under the Chatham House rule</w:t>
      </w:r>
    </w:p>
    <w:p w:rsidR="0083106E" w:rsidRPr="00136CB4" w:rsidRDefault="0083106E" w:rsidP="00AC3370">
      <w:pPr>
        <w:jc w:val="center"/>
        <w:rPr>
          <w:sz w:val="24"/>
          <w:szCs w:val="24"/>
        </w:rPr>
      </w:pPr>
    </w:p>
    <w:p w:rsidR="0083106E" w:rsidRPr="00136CB4" w:rsidRDefault="00732D2B" w:rsidP="00732D2B">
      <w:pPr>
        <w:pStyle w:val="NoSpacing"/>
        <w:jc w:val="both"/>
      </w:pPr>
      <w:r w:rsidRPr="00136CB4">
        <w:t xml:space="preserve">The Investigatory Powers Act 2016 provides that when deciding whether </w:t>
      </w:r>
      <w:r w:rsidR="00AB5434" w:rsidRPr="00136CB4">
        <w:t xml:space="preserve">warrants should be </w:t>
      </w:r>
      <w:r w:rsidRPr="00136CB4">
        <w:t>approve</w:t>
      </w:r>
      <w:r w:rsidR="00AB5434" w:rsidRPr="00136CB4">
        <w:t>d</w:t>
      </w:r>
      <w:r w:rsidRPr="00136CB4">
        <w:t xml:space="preserve"> </w:t>
      </w:r>
      <w:r w:rsidR="00AB5434" w:rsidRPr="00136CB4">
        <w:t xml:space="preserve">a Judicial Commissioner is required to review the Secretary of State’s conclusions as to whether the warrant is necessary and whether the conduct to be authorised under the warrant is proportionate. In doing so the Judicial Commissioner must apply the same principles as would be applied by a court on an application for judicial review. These requirements form what is widely referred to as the ‘double </w:t>
      </w:r>
      <w:proofErr w:type="gramStart"/>
      <w:r w:rsidR="00AB5434" w:rsidRPr="00136CB4">
        <w:t>lock’.</w:t>
      </w:r>
      <w:proofErr w:type="gramEnd"/>
      <w:r w:rsidR="00AB5434" w:rsidRPr="00136CB4">
        <w:t xml:space="preserve"> This workshop will consider what these tests are likely to require in practice</w:t>
      </w:r>
      <w:r w:rsidR="0083106E" w:rsidRPr="00136CB4">
        <w:t xml:space="preserve"> and how the Investigatory Powers Commissioner’s Office is preparing for this important role.  </w:t>
      </w:r>
    </w:p>
    <w:p w:rsidR="0083106E" w:rsidRDefault="0083106E" w:rsidP="00732D2B">
      <w:pPr>
        <w:pStyle w:val="NoSpacing"/>
        <w:jc w:val="both"/>
      </w:pPr>
    </w:p>
    <w:p w:rsidR="00613AF2" w:rsidRPr="00136CB4" w:rsidRDefault="00613AF2" w:rsidP="00613AF2">
      <w:pPr>
        <w:pStyle w:val="NoSpacing"/>
        <w:jc w:val="center"/>
      </w:pPr>
      <w:r>
        <w:t>Agenda</w:t>
      </w:r>
    </w:p>
    <w:p w:rsidR="0083106E" w:rsidRPr="00136CB4" w:rsidRDefault="0083106E" w:rsidP="0083106E">
      <w:pPr>
        <w:pStyle w:val="NoSpacing"/>
      </w:pPr>
      <w:r w:rsidRPr="00136CB4">
        <w:t xml:space="preserve">The following is a broad agenda for the day. It refers to some of the emerging issues and questions but is not exhaustive and is intended as a guide. The discussion will be informed by some hypothetical factual scenarios that will be fed into the discussion.  </w:t>
      </w:r>
      <w:r w:rsidR="00732D2B" w:rsidRPr="00136CB4">
        <w:br/>
      </w:r>
    </w:p>
    <w:p w:rsidR="00732D2B" w:rsidRPr="00136CB4" w:rsidRDefault="00732D2B" w:rsidP="00732D2B">
      <w:pPr>
        <w:pStyle w:val="NoSpacing"/>
        <w:jc w:val="both"/>
      </w:pPr>
    </w:p>
    <w:p w:rsidR="00136CB4" w:rsidRPr="00136CB4" w:rsidRDefault="00136CB4" w:rsidP="00136CB4">
      <w:pPr>
        <w:ind w:left="360"/>
        <w:rPr>
          <w:sz w:val="24"/>
          <w:szCs w:val="24"/>
        </w:rPr>
      </w:pPr>
      <w:r w:rsidRPr="00136CB4">
        <w:rPr>
          <w:sz w:val="24"/>
          <w:szCs w:val="24"/>
        </w:rPr>
        <w:t xml:space="preserve">10.30:  </w:t>
      </w:r>
      <w:r w:rsidRPr="00136CB4">
        <w:rPr>
          <w:sz w:val="24"/>
          <w:szCs w:val="24"/>
        </w:rPr>
        <w:tab/>
        <w:t xml:space="preserve">      Welcome and Introductions </w:t>
      </w:r>
    </w:p>
    <w:p w:rsidR="003614A0" w:rsidRPr="00136CB4" w:rsidRDefault="00136CB4" w:rsidP="00136CB4">
      <w:pPr>
        <w:ind w:left="360"/>
        <w:rPr>
          <w:sz w:val="24"/>
          <w:szCs w:val="24"/>
        </w:rPr>
      </w:pPr>
      <w:r w:rsidRPr="00136CB4">
        <w:rPr>
          <w:sz w:val="24"/>
          <w:szCs w:val="24"/>
        </w:rPr>
        <w:t>10.40 – 11.00:  T</w:t>
      </w:r>
      <w:r w:rsidR="003614A0" w:rsidRPr="00136CB4">
        <w:rPr>
          <w:sz w:val="24"/>
          <w:szCs w:val="24"/>
        </w:rPr>
        <w:t>he nature of the scheme</w:t>
      </w:r>
      <w:r w:rsidRPr="00136CB4">
        <w:rPr>
          <w:sz w:val="24"/>
          <w:szCs w:val="24"/>
        </w:rPr>
        <w:t>:</w:t>
      </w:r>
    </w:p>
    <w:p w:rsidR="00117475" w:rsidRDefault="00117475" w:rsidP="00136CB4">
      <w:pPr>
        <w:ind w:left="1800" w:firstLine="360"/>
        <w:rPr>
          <w:sz w:val="24"/>
          <w:szCs w:val="24"/>
        </w:rPr>
      </w:pPr>
      <w:r>
        <w:rPr>
          <w:sz w:val="24"/>
          <w:szCs w:val="24"/>
        </w:rPr>
        <w:t xml:space="preserve">A update from the IPCO </w:t>
      </w:r>
      <w:bookmarkStart w:id="0" w:name="_GoBack"/>
      <w:bookmarkEnd w:id="0"/>
    </w:p>
    <w:p w:rsidR="003614A0" w:rsidRPr="00136CB4" w:rsidRDefault="003614A0" w:rsidP="00136CB4">
      <w:pPr>
        <w:ind w:left="1800" w:firstLine="360"/>
        <w:rPr>
          <w:sz w:val="24"/>
          <w:szCs w:val="24"/>
        </w:rPr>
      </w:pPr>
      <w:r w:rsidRPr="00136CB4">
        <w:rPr>
          <w:sz w:val="24"/>
          <w:szCs w:val="24"/>
        </w:rPr>
        <w:t xml:space="preserve">The role of the JC/JCs </w:t>
      </w:r>
    </w:p>
    <w:p w:rsidR="003614A0" w:rsidRPr="00136CB4" w:rsidRDefault="003614A0" w:rsidP="00136CB4">
      <w:pPr>
        <w:ind w:left="1440" w:firstLine="720"/>
        <w:rPr>
          <w:sz w:val="24"/>
          <w:szCs w:val="24"/>
        </w:rPr>
      </w:pPr>
      <w:r w:rsidRPr="00136CB4">
        <w:rPr>
          <w:sz w:val="24"/>
          <w:szCs w:val="24"/>
        </w:rPr>
        <w:t xml:space="preserve">Their institutional and functional independence </w:t>
      </w:r>
    </w:p>
    <w:p w:rsidR="009B76FD" w:rsidRPr="00136CB4" w:rsidRDefault="009B76FD" w:rsidP="00136CB4">
      <w:pPr>
        <w:ind w:left="2160"/>
        <w:rPr>
          <w:sz w:val="24"/>
          <w:szCs w:val="24"/>
        </w:rPr>
      </w:pPr>
      <w:r w:rsidRPr="00136CB4">
        <w:rPr>
          <w:sz w:val="24"/>
          <w:szCs w:val="24"/>
        </w:rPr>
        <w:t xml:space="preserve">Can a non-adversarial process be sufficiently robust? What </w:t>
      </w:r>
      <w:proofErr w:type="spellStart"/>
      <w:r w:rsidRPr="00136CB4">
        <w:rPr>
          <w:sz w:val="24"/>
          <w:szCs w:val="24"/>
        </w:rPr>
        <w:t>eg</w:t>
      </w:r>
      <w:proofErr w:type="spellEnd"/>
      <w:r w:rsidRPr="00136CB4">
        <w:rPr>
          <w:sz w:val="24"/>
          <w:szCs w:val="24"/>
        </w:rPr>
        <w:t xml:space="preserve"> are the points of friction that enable JCs to see/test alternatives</w:t>
      </w:r>
      <w:r w:rsidR="00655DDB" w:rsidRPr="00136CB4">
        <w:rPr>
          <w:sz w:val="24"/>
          <w:szCs w:val="24"/>
        </w:rPr>
        <w:t>/consider the impacts on those who are participants</w:t>
      </w:r>
      <w:r w:rsidRPr="00136CB4">
        <w:rPr>
          <w:sz w:val="24"/>
          <w:szCs w:val="24"/>
        </w:rPr>
        <w:t xml:space="preserve">? </w:t>
      </w:r>
    </w:p>
    <w:p w:rsidR="003614A0" w:rsidRPr="00136CB4" w:rsidRDefault="003614A0" w:rsidP="00136CB4">
      <w:pPr>
        <w:ind w:left="1800" w:firstLine="360"/>
        <w:rPr>
          <w:sz w:val="24"/>
          <w:szCs w:val="24"/>
        </w:rPr>
      </w:pPr>
      <w:proofErr w:type="gramStart"/>
      <w:r w:rsidRPr="00136CB4">
        <w:rPr>
          <w:sz w:val="24"/>
          <w:szCs w:val="24"/>
        </w:rPr>
        <w:t>The meaning of the ‘double lock’.</w:t>
      </w:r>
      <w:proofErr w:type="gramEnd"/>
      <w:r w:rsidRPr="00136CB4">
        <w:rPr>
          <w:sz w:val="24"/>
          <w:szCs w:val="24"/>
        </w:rPr>
        <w:t xml:space="preserve">  In what sense is a </w:t>
      </w:r>
      <w:proofErr w:type="gramStart"/>
      <w:r w:rsidRPr="00136CB4">
        <w:rPr>
          <w:sz w:val="24"/>
          <w:szCs w:val="24"/>
        </w:rPr>
        <w:t>‘review’  a</w:t>
      </w:r>
      <w:proofErr w:type="gramEnd"/>
      <w:r w:rsidRPr="00136CB4">
        <w:rPr>
          <w:sz w:val="24"/>
          <w:szCs w:val="24"/>
        </w:rPr>
        <w:t xml:space="preserve"> ‘lock’?</w:t>
      </w:r>
    </w:p>
    <w:p w:rsidR="003614A0" w:rsidRPr="00136CB4" w:rsidRDefault="00136CB4" w:rsidP="00136CB4">
      <w:pPr>
        <w:ind w:left="360"/>
        <w:rPr>
          <w:sz w:val="24"/>
          <w:szCs w:val="24"/>
        </w:rPr>
      </w:pPr>
      <w:r w:rsidRPr="00136CB4">
        <w:rPr>
          <w:sz w:val="24"/>
          <w:szCs w:val="24"/>
        </w:rPr>
        <w:t xml:space="preserve">11.00- 13.00:  </w:t>
      </w:r>
      <w:r w:rsidR="003614A0" w:rsidRPr="00136CB4">
        <w:rPr>
          <w:sz w:val="24"/>
          <w:szCs w:val="24"/>
        </w:rPr>
        <w:t>What do the principles of judicial review require?</w:t>
      </w:r>
    </w:p>
    <w:p w:rsidR="003614A0" w:rsidRPr="00136CB4" w:rsidRDefault="003614A0" w:rsidP="00136CB4">
      <w:pPr>
        <w:ind w:left="1800" w:firstLine="360"/>
        <w:rPr>
          <w:sz w:val="24"/>
          <w:szCs w:val="24"/>
        </w:rPr>
      </w:pPr>
      <w:r w:rsidRPr="00136CB4">
        <w:rPr>
          <w:sz w:val="24"/>
          <w:szCs w:val="24"/>
        </w:rPr>
        <w:t xml:space="preserve">What </w:t>
      </w:r>
      <w:r w:rsidRPr="00136CB4">
        <w:rPr>
          <w:i/>
          <w:sz w:val="24"/>
          <w:szCs w:val="24"/>
        </w:rPr>
        <w:t>level</w:t>
      </w:r>
      <w:r w:rsidRPr="00136CB4">
        <w:rPr>
          <w:sz w:val="24"/>
          <w:szCs w:val="24"/>
        </w:rPr>
        <w:t xml:space="preserve"> of scrutiny is required? </w:t>
      </w:r>
    </w:p>
    <w:p w:rsidR="003614A0" w:rsidRPr="00136CB4" w:rsidRDefault="003614A0" w:rsidP="00136CB4">
      <w:pPr>
        <w:ind w:left="1440" w:firstLine="720"/>
        <w:rPr>
          <w:sz w:val="24"/>
          <w:szCs w:val="24"/>
        </w:rPr>
      </w:pPr>
      <w:r w:rsidRPr="00136CB4">
        <w:rPr>
          <w:sz w:val="24"/>
          <w:szCs w:val="24"/>
        </w:rPr>
        <w:lastRenderedPageBreak/>
        <w:t xml:space="preserve">Will this </w:t>
      </w:r>
      <w:r w:rsidRPr="00136CB4">
        <w:rPr>
          <w:i/>
          <w:sz w:val="24"/>
          <w:szCs w:val="24"/>
        </w:rPr>
        <w:t>level</w:t>
      </w:r>
      <w:r w:rsidRPr="00136CB4">
        <w:rPr>
          <w:sz w:val="24"/>
          <w:szCs w:val="24"/>
        </w:rPr>
        <w:t xml:space="preserve"> of scrutiny vary? If so, what factors </w:t>
      </w:r>
      <w:r w:rsidR="00655DDB" w:rsidRPr="00136CB4">
        <w:rPr>
          <w:sz w:val="24"/>
          <w:szCs w:val="24"/>
        </w:rPr>
        <w:t xml:space="preserve">are </w:t>
      </w:r>
      <w:r w:rsidRPr="00136CB4">
        <w:rPr>
          <w:sz w:val="24"/>
          <w:szCs w:val="24"/>
        </w:rPr>
        <w:t>relevant?</w:t>
      </w:r>
    </w:p>
    <w:p w:rsidR="001C126B" w:rsidRPr="00136CB4" w:rsidRDefault="00D46723" w:rsidP="00136CB4">
      <w:pPr>
        <w:spacing w:before="100" w:beforeAutospacing="1" w:after="100" w:afterAutospacing="1" w:line="240" w:lineRule="auto"/>
        <w:ind w:left="2160"/>
        <w:rPr>
          <w:rFonts w:eastAsia="Times New Roman"/>
          <w:sz w:val="24"/>
          <w:szCs w:val="24"/>
        </w:rPr>
      </w:pPr>
      <w:r w:rsidRPr="00136CB4">
        <w:rPr>
          <w:sz w:val="24"/>
          <w:szCs w:val="24"/>
        </w:rPr>
        <w:t>Rights</w:t>
      </w:r>
      <w:r w:rsidR="001C126B" w:rsidRPr="00136CB4">
        <w:rPr>
          <w:sz w:val="24"/>
          <w:szCs w:val="24"/>
        </w:rPr>
        <w:t xml:space="preserve">: </w:t>
      </w:r>
      <w:r w:rsidR="00655DDB" w:rsidRPr="00136CB4">
        <w:rPr>
          <w:sz w:val="24"/>
          <w:szCs w:val="24"/>
        </w:rPr>
        <w:t xml:space="preserve">How will JCs determine whether rights are engaged? How will they approach rights beyond privacy, including </w:t>
      </w:r>
      <w:proofErr w:type="spellStart"/>
      <w:r w:rsidR="00655DDB" w:rsidRPr="00136CB4">
        <w:rPr>
          <w:sz w:val="24"/>
          <w:szCs w:val="24"/>
        </w:rPr>
        <w:t>eg</w:t>
      </w:r>
      <w:proofErr w:type="spellEnd"/>
      <w:r w:rsidR="00655DDB" w:rsidRPr="00136CB4">
        <w:rPr>
          <w:sz w:val="24"/>
          <w:szCs w:val="24"/>
        </w:rPr>
        <w:t xml:space="preserve"> freedom of expression and other rights which are central to</w:t>
      </w:r>
      <w:r w:rsidRPr="00136CB4">
        <w:rPr>
          <w:sz w:val="24"/>
          <w:szCs w:val="24"/>
        </w:rPr>
        <w:t xml:space="preserve"> the proper functioning of </w:t>
      </w:r>
      <w:r w:rsidR="00655DDB" w:rsidRPr="00136CB4">
        <w:rPr>
          <w:sz w:val="24"/>
          <w:szCs w:val="24"/>
        </w:rPr>
        <w:t xml:space="preserve">democracy? </w:t>
      </w:r>
    </w:p>
    <w:p w:rsidR="001C126B" w:rsidRPr="00136CB4" w:rsidRDefault="001C126B" w:rsidP="00136CB4">
      <w:pPr>
        <w:ind w:left="1440" w:firstLine="720"/>
        <w:rPr>
          <w:sz w:val="24"/>
          <w:szCs w:val="24"/>
        </w:rPr>
      </w:pPr>
      <w:r w:rsidRPr="00136CB4">
        <w:rPr>
          <w:sz w:val="24"/>
          <w:szCs w:val="24"/>
        </w:rPr>
        <w:t xml:space="preserve">How broad a margin of judgement will be permitted the SS? </w:t>
      </w:r>
    </w:p>
    <w:p w:rsidR="001C126B" w:rsidRPr="00136CB4" w:rsidRDefault="001C126B" w:rsidP="00136CB4">
      <w:pPr>
        <w:ind w:left="1800" w:firstLine="360"/>
        <w:rPr>
          <w:sz w:val="24"/>
          <w:szCs w:val="24"/>
        </w:rPr>
      </w:pPr>
      <w:r w:rsidRPr="00136CB4">
        <w:rPr>
          <w:sz w:val="24"/>
          <w:szCs w:val="24"/>
        </w:rPr>
        <w:t xml:space="preserve">Sensitive professions </w:t>
      </w:r>
    </w:p>
    <w:p w:rsidR="00D46723" w:rsidRPr="00136CB4" w:rsidRDefault="00136CB4" w:rsidP="00136CB4">
      <w:pPr>
        <w:ind w:left="360"/>
        <w:rPr>
          <w:sz w:val="24"/>
          <w:szCs w:val="24"/>
        </w:rPr>
      </w:pPr>
      <w:r w:rsidRPr="00136CB4">
        <w:rPr>
          <w:sz w:val="24"/>
          <w:szCs w:val="24"/>
        </w:rPr>
        <w:t xml:space="preserve">14.00-16.00:  </w:t>
      </w:r>
      <w:r w:rsidR="00D46723" w:rsidRPr="00136CB4">
        <w:rPr>
          <w:sz w:val="24"/>
          <w:szCs w:val="24"/>
        </w:rPr>
        <w:t xml:space="preserve">Necessity and proportionality </w:t>
      </w:r>
    </w:p>
    <w:p w:rsidR="003614A0" w:rsidRPr="00136CB4" w:rsidRDefault="003614A0" w:rsidP="00136CB4">
      <w:pPr>
        <w:ind w:left="2160"/>
        <w:rPr>
          <w:sz w:val="24"/>
          <w:szCs w:val="24"/>
        </w:rPr>
      </w:pPr>
      <w:r w:rsidRPr="00136CB4">
        <w:rPr>
          <w:sz w:val="24"/>
          <w:szCs w:val="24"/>
        </w:rPr>
        <w:t xml:space="preserve">What does necessity and proportionality require in practice? Can (should) these tests be given greater clarity? </w:t>
      </w:r>
      <w:proofErr w:type="spellStart"/>
      <w:proofErr w:type="gramStart"/>
      <w:r w:rsidR="00655DDB" w:rsidRPr="00136CB4">
        <w:rPr>
          <w:sz w:val="24"/>
          <w:szCs w:val="24"/>
        </w:rPr>
        <w:t>Eg</w:t>
      </w:r>
      <w:proofErr w:type="spellEnd"/>
      <w:r w:rsidR="00655DDB" w:rsidRPr="00136CB4">
        <w:rPr>
          <w:sz w:val="24"/>
          <w:szCs w:val="24"/>
        </w:rPr>
        <w:t xml:space="preserve"> </w:t>
      </w:r>
      <w:r w:rsidR="00136CB4" w:rsidRPr="00136CB4">
        <w:rPr>
          <w:sz w:val="24"/>
          <w:szCs w:val="24"/>
        </w:rPr>
        <w:t>Advice Note (AN) (</w:t>
      </w:r>
      <w:r w:rsidR="00655DDB" w:rsidRPr="00136CB4">
        <w:rPr>
          <w:rFonts w:eastAsia="Times New Roman"/>
          <w:sz w:val="24"/>
          <w:szCs w:val="24"/>
        </w:rPr>
        <w:t>Para 16</w:t>
      </w:r>
      <w:r w:rsidR="00136CB4" w:rsidRPr="00136CB4">
        <w:rPr>
          <w:rFonts w:eastAsia="Times New Roman"/>
          <w:sz w:val="24"/>
          <w:szCs w:val="24"/>
        </w:rPr>
        <w:t>)</w:t>
      </w:r>
      <w:r w:rsidR="00655DDB" w:rsidRPr="00136CB4">
        <w:rPr>
          <w:rFonts w:eastAsia="Times New Roman"/>
          <w:sz w:val="24"/>
          <w:szCs w:val="24"/>
        </w:rPr>
        <w:t xml:space="preserve"> Refers to consideration of alternative ‘less intrusive means’.</w:t>
      </w:r>
      <w:proofErr w:type="gramEnd"/>
      <w:r w:rsidR="00655DDB" w:rsidRPr="00136CB4">
        <w:rPr>
          <w:rFonts w:eastAsia="Times New Roman"/>
          <w:sz w:val="24"/>
          <w:szCs w:val="24"/>
        </w:rPr>
        <w:t xml:space="preserve"> How will these </w:t>
      </w:r>
      <w:r w:rsidR="00136CB4" w:rsidRPr="00136CB4">
        <w:rPr>
          <w:rFonts w:eastAsia="Times New Roman"/>
          <w:sz w:val="24"/>
          <w:szCs w:val="24"/>
        </w:rPr>
        <w:t xml:space="preserve">alternatives </w:t>
      </w:r>
      <w:r w:rsidR="00655DDB" w:rsidRPr="00136CB4">
        <w:rPr>
          <w:rFonts w:eastAsia="Times New Roman"/>
          <w:sz w:val="24"/>
          <w:szCs w:val="24"/>
        </w:rPr>
        <w:t>be identified?</w:t>
      </w:r>
    </w:p>
    <w:p w:rsidR="00D46723" w:rsidRPr="00136CB4" w:rsidRDefault="00136CB4" w:rsidP="00136CB4">
      <w:pPr>
        <w:spacing w:before="100" w:beforeAutospacing="1" w:after="100" w:afterAutospacing="1" w:line="240" w:lineRule="auto"/>
        <w:ind w:left="2160"/>
        <w:rPr>
          <w:rFonts w:eastAsia="Times New Roman"/>
          <w:sz w:val="24"/>
          <w:szCs w:val="24"/>
        </w:rPr>
      </w:pPr>
      <w:proofErr w:type="gramStart"/>
      <w:r w:rsidRPr="00136CB4">
        <w:rPr>
          <w:rFonts w:eastAsia="Times New Roman"/>
          <w:sz w:val="24"/>
          <w:szCs w:val="24"/>
        </w:rPr>
        <w:t>AN</w:t>
      </w:r>
      <w:proofErr w:type="gramEnd"/>
      <w:r w:rsidRPr="00136CB4">
        <w:rPr>
          <w:rFonts w:eastAsia="Times New Roman"/>
          <w:sz w:val="24"/>
          <w:szCs w:val="24"/>
        </w:rPr>
        <w:t xml:space="preserve"> p</w:t>
      </w:r>
      <w:r w:rsidR="00D46723" w:rsidRPr="00136CB4">
        <w:rPr>
          <w:rFonts w:eastAsia="Times New Roman"/>
          <w:sz w:val="24"/>
          <w:szCs w:val="24"/>
        </w:rPr>
        <w:t xml:space="preserve">ara 17. The necessity test as per the ECtHR (and CJEU) is a key requirement. Note that, in the context of secret surveillance, the relevant test is widely regarded as one of </w:t>
      </w:r>
      <w:r w:rsidR="00D46723" w:rsidRPr="00136CB4">
        <w:rPr>
          <w:rFonts w:eastAsia="Times New Roman"/>
          <w:i/>
          <w:sz w:val="24"/>
          <w:szCs w:val="24"/>
        </w:rPr>
        <w:t>strict</w:t>
      </w:r>
      <w:r w:rsidR="00D46723" w:rsidRPr="00136CB4">
        <w:rPr>
          <w:rFonts w:eastAsia="Times New Roman"/>
          <w:sz w:val="24"/>
          <w:szCs w:val="24"/>
        </w:rPr>
        <w:t xml:space="preserve"> necessity as discussed in </w:t>
      </w:r>
      <w:r w:rsidR="00D46723" w:rsidRPr="00136CB4">
        <w:rPr>
          <w:rFonts w:eastAsia="Times New Roman"/>
          <w:i/>
          <w:sz w:val="24"/>
          <w:szCs w:val="24"/>
        </w:rPr>
        <w:t xml:space="preserve">Szabo &amp; </w:t>
      </w:r>
      <w:proofErr w:type="spellStart"/>
      <w:r w:rsidR="00D46723" w:rsidRPr="00136CB4">
        <w:rPr>
          <w:rFonts w:eastAsia="Times New Roman"/>
          <w:i/>
          <w:sz w:val="24"/>
          <w:szCs w:val="24"/>
        </w:rPr>
        <w:t>Vissy</w:t>
      </w:r>
      <w:proofErr w:type="spellEnd"/>
      <w:r w:rsidR="00D46723" w:rsidRPr="00136CB4">
        <w:rPr>
          <w:rFonts w:eastAsia="Times New Roman"/>
          <w:sz w:val="24"/>
          <w:szCs w:val="24"/>
        </w:rPr>
        <w:t xml:space="preserve"> (ECtHR, para 72-72) and </w:t>
      </w:r>
      <w:r w:rsidR="00D46723" w:rsidRPr="00136CB4">
        <w:rPr>
          <w:rFonts w:eastAsia="Times New Roman"/>
          <w:i/>
          <w:sz w:val="24"/>
          <w:szCs w:val="24"/>
        </w:rPr>
        <w:t>Tele2</w:t>
      </w:r>
      <w:r w:rsidR="00D46723" w:rsidRPr="00136CB4">
        <w:rPr>
          <w:rFonts w:eastAsia="Times New Roman"/>
          <w:sz w:val="24"/>
          <w:szCs w:val="24"/>
        </w:rPr>
        <w:t xml:space="preserve"> (CJEU, paras107-110</w:t>
      </w:r>
      <w:proofErr w:type="gramStart"/>
      <w:r w:rsidR="00D46723" w:rsidRPr="00136CB4">
        <w:rPr>
          <w:rFonts w:eastAsia="Times New Roman"/>
          <w:sz w:val="24"/>
          <w:szCs w:val="24"/>
        </w:rPr>
        <w:t>;116</w:t>
      </w:r>
      <w:proofErr w:type="gramEnd"/>
      <w:r w:rsidR="00D46723" w:rsidRPr="00136CB4">
        <w:rPr>
          <w:rFonts w:eastAsia="Times New Roman"/>
          <w:sz w:val="24"/>
          <w:szCs w:val="24"/>
        </w:rPr>
        <w:t>-119). If this test is applied, it may require the JC to refuse a warrant, even though the IPA 2016 allows for powers in those circumstances. This is because certain of the powers in the IPA are arguably broader than those permitted by reference to European case law.</w:t>
      </w:r>
    </w:p>
    <w:p w:rsidR="00136CB4" w:rsidRDefault="00136CB4" w:rsidP="00136CB4">
      <w:pPr>
        <w:spacing w:before="100" w:beforeAutospacing="1" w:after="100" w:afterAutospacing="1" w:line="240" w:lineRule="auto"/>
        <w:rPr>
          <w:rFonts w:eastAsia="Times New Roman"/>
          <w:sz w:val="24"/>
          <w:szCs w:val="24"/>
        </w:rPr>
      </w:pPr>
      <w:r w:rsidRPr="00136CB4">
        <w:rPr>
          <w:rFonts w:eastAsia="Times New Roman"/>
          <w:sz w:val="24"/>
          <w:szCs w:val="24"/>
        </w:rPr>
        <w:tab/>
        <w:t xml:space="preserve">16.00-16.15:   Closing remarks and ‘any other business’ </w:t>
      </w:r>
    </w:p>
    <w:p w:rsidR="000D496C" w:rsidRPr="000D496C" w:rsidRDefault="000D496C" w:rsidP="000D496C">
      <w:pPr>
        <w:spacing w:before="100" w:beforeAutospacing="1" w:after="100" w:afterAutospacing="1" w:line="240" w:lineRule="auto"/>
        <w:ind w:left="360"/>
        <w:rPr>
          <w:rFonts w:eastAsia="Times New Roman"/>
        </w:rPr>
      </w:pPr>
      <w:r w:rsidRPr="000D496C">
        <w:rPr>
          <w:rFonts w:eastAsia="Times New Roman"/>
          <w:sz w:val="24"/>
          <w:szCs w:val="24"/>
        </w:rPr>
        <w:t>After the workshop people are welcome to join us for a post-workshop tea/drink and if anyone is interested in dinner, let us know and we will arrange</w:t>
      </w:r>
      <w:r w:rsidRPr="000D496C">
        <w:rPr>
          <w:rFonts w:eastAsia="Times New Roman"/>
        </w:rPr>
        <w:t>.</w:t>
      </w:r>
    </w:p>
    <w:p w:rsidR="000D496C" w:rsidRPr="00136CB4" w:rsidRDefault="000D496C" w:rsidP="00136CB4">
      <w:pPr>
        <w:spacing w:before="100" w:beforeAutospacing="1" w:after="100" w:afterAutospacing="1" w:line="240" w:lineRule="auto"/>
        <w:rPr>
          <w:rFonts w:eastAsia="Times New Roman"/>
          <w:sz w:val="24"/>
          <w:szCs w:val="24"/>
        </w:rPr>
      </w:pPr>
    </w:p>
    <w:sectPr w:rsidR="000D496C" w:rsidRPr="00136CB4">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52E" w:rsidRDefault="00EF552E" w:rsidP="00860C8E">
      <w:pPr>
        <w:spacing w:after="0" w:line="240" w:lineRule="auto"/>
      </w:pPr>
      <w:r>
        <w:separator/>
      </w:r>
    </w:p>
  </w:endnote>
  <w:endnote w:type="continuationSeparator" w:id="0">
    <w:p w:rsidR="00EF552E" w:rsidRDefault="00EF552E" w:rsidP="00860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Next-W01-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52E" w:rsidRDefault="00EF552E" w:rsidP="00860C8E">
      <w:pPr>
        <w:spacing w:after="0" w:line="240" w:lineRule="auto"/>
      </w:pPr>
      <w:r>
        <w:separator/>
      </w:r>
    </w:p>
  </w:footnote>
  <w:footnote w:type="continuationSeparator" w:id="0">
    <w:p w:rsidR="00EF552E" w:rsidRDefault="00EF552E" w:rsidP="00860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C8E" w:rsidRDefault="00860C8E" w:rsidP="00860C8E">
    <w:pPr>
      <w:pStyle w:val="Header"/>
      <w:tabs>
        <w:tab w:val="clear" w:pos="4513"/>
        <w:tab w:val="clear" w:pos="9026"/>
        <w:tab w:val="center" w:pos="4510"/>
        <w:tab w:val="right" w:pos="9020"/>
      </w:tabs>
      <w:rPr>
        <w:rFonts w:ascii="DIN-Next-W01-Light" w:hAnsi="DIN-Next-W01-Light"/>
        <w:color w:val="AEAEAE"/>
        <w:sz w:val="28"/>
        <w:szCs w:val="28"/>
      </w:rPr>
    </w:pPr>
    <w:r>
      <w:rPr>
        <w:noProof/>
        <w:lang w:eastAsia="en-GB"/>
      </w:rPr>
      <w:drawing>
        <wp:anchor distT="0" distB="0" distL="114300" distR="114300" simplePos="0" relativeHeight="251659264" behindDoc="0" locked="0" layoutInCell="1" allowOverlap="1" wp14:anchorId="60F2965C" wp14:editId="557F28FA">
          <wp:simplePos x="0" y="0"/>
          <wp:positionH relativeFrom="margin">
            <wp:posOffset>4843417</wp:posOffset>
          </wp:positionH>
          <wp:positionV relativeFrom="paragraph">
            <wp:posOffset>-238669</wp:posOffset>
          </wp:positionV>
          <wp:extent cx="1648460" cy="9144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BDT - Logo final - full text -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460"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0A53EBB2" wp14:editId="5085BC38">
          <wp:simplePos x="0" y="0"/>
          <wp:positionH relativeFrom="margin">
            <wp:posOffset>22316</wp:posOffset>
          </wp:positionH>
          <wp:positionV relativeFrom="page">
            <wp:posOffset>446042</wp:posOffset>
          </wp:positionV>
          <wp:extent cx="600075" cy="4997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4997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r>
      <w:rPr>
        <w:rFonts w:ascii="Arial" w:hAnsi="Arial"/>
        <w:noProof/>
        <w:color w:val="1E1E1E"/>
        <w:sz w:val="21"/>
        <w:szCs w:val="21"/>
        <w:lang w:eastAsia="en-GB"/>
      </w:rPr>
      <w:drawing>
        <wp:inline distT="0" distB="0" distL="0" distR="0" wp14:anchorId="35927ECB" wp14:editId="50171267">
          <wp:extent cx="1905000" cy="438150"/>
          <wp:effectExtent l="0" t="0" r="0" b="0"/>
          <wp:docPr id="1" name="Picture 1" descr="Cyb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_Logo"/>
                  <pic:cNvPicPr>
                    <a:picLocks noChangeAspect="1" noChangeArrowheads="1"/>
                  </pic:cNvPicPr>
                </pic:nvPicPr>
                <pic:blipFill>
                  <a:blip r:embed="rId3"/>
                  <a:srcRect/>
                  <a:stretch>
                    <a:fillRect/>
                  </a:stretch>
                </pic:blipFill>
                <pic:spPr bwMode="auto">
                  <a:xfrm>
                    <a:off x="0" y="0"/>
                    <a:ext cx="1905000" cy="438150"/>
                  </a:xfrm>
                  <a:prstGeom prst="rect">
                    <a:avLst/>
                  </a:prstGeom>
                  <a:noFill/>
                  <a:ln w="9525">
                    <a:noFill/>
                    <a:miter lim="800000"/>
                    <a:headEnd/>
                    <a:tailEnd/>
                  </a:ln>
                </pic:spPr>
              </pic:pic>
            </a:graphicData>
          </a:graphic>
        </wp:inline>
      </w:drawing>
    </w:r>
    <w:r>
      <w:t xml:space="preserve"> </w:t>
    </w:r>
    <w:r>
      <w:rPr>
        <w:rFonts w:ascii="Arial" w:hAnsi="Arial"/>
        <w:noProof/>
        <w:color w:val="1E1E1E"/>
        <w:sz w:val="21"/>
        <w:szCs w:val="21"/>
        <w:lang w:eastAsia="en-GB"/>
      </w:rPr>
      <w:drawing>
        <wp:inline distT="0" distB="0" distL="0" distR="0" wp14:anchorId="2029DF66" wp14:editId="016C07B4">
          <wp:extent cx="1552575" cy="514350"/>
          <wp:effectExtent l="0" t="0" r="0" b="0"/>
          <wp:docPr id="2" name="Picture 2" descr="Huj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ji_Logo"/>
                  <pic:cNvPicPr>
                    <a:picLocks noChangeAspect="1" noChangeArrowheads="1"/>
                  </pic:cNvPicPr>
                </pic:nvPicPr>
                <pic:blipFill>
                  <a:blip r:embed="rId4"/>
                  <a:srcRect/>
                  <a:stretch>
                    <a:fillRect/>
                  </a:stretch>
                </pic:blipFill>
                <pic:spPr bwMode="auto">
                  <a:xfrm>
                    <a:off x="0" y="0"/>
                    <a:ext cx="1552575" cy="514350"/>
                  </a:xfrm>
                  <a:prstGeom prst="rect">
                    <a:avLst/>
                  </a:prstGeom>
                  <a:noFill/>
                  <a:ln w="9525">
                    <a:noFill/>
                    <a:miter lim="800000"/>
                    <a:headEnd/>
                    <a:tailEnd/>
                  </a:ln>
                </pic:spPr>
              </pic:pic>
            </a:graphicData>
          </a:graphic>
        </wp:inline>
      </w:drawing>
    </w:r>
    <w:r>
      <w:tab/>
    </w:r>
  </w:p>
  <w:p w:rsidR="00860C8E" w:rsidRPr="00860C8E" w:rsidRDefault="00860C8E" w:rsidP="00860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4775E"/>
    <w:multiLevelType w:val="multilevel"/>
    <w:tmpl w:val="620CB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343462CD"/>
    <w:multiLevelType w:val="multilevel"/>
    <w:tmpl w:val="59C42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71714807"/>
    <w:multiLevelType w:val="hybridMultilevel"/>
    <w:tmpl w:val="9C20FA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4A0"/>
    <w:rsid w:val="000D496C"/>
    <w:rsid w:val="00117475"/>
    <w:rsid w:val="00136CB4"/>
    <w:rsid w:val="001C126B"/>
    <w:rsid w:val="002B31DF"/>
    <w:rsid w:val="003614A0"/>
    <w:rsid w:val="00613AF2"/>
    <w:rsid w:val="00655DDB"/>
    <w:rsid w:val="00660A2E"/>
    <w:rsid w:val="00732D2B"/>
    <w:rsid w:val="007F3209"/>
    <w:rsid w:val="0083106E"/>
    <w:rsid w:val="00860C8E"/>
    <w:rsid w:val="009B76FD"/>
    <w:rsid w:val="00A96690"/>
    <w:rsid w:val="00AB5434"/>
    <w:rsid w:val="00AC3370"/>
    <w:rsid w:val="00C561AF"/>
    <w:rsid w:val="00D46723"/>
    <w:rsid w:val="00EF552E"/>
    <w:rsid w:val="00F4740B"/>
    <w:rsid w:val="00FA5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4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4A0"/>
    <w:pPr>
      <w:ind w:left="720"/>
      <w:contextualSpacing/>
    </w:pPr>
  </w:style>
  <w:style w:type="paragraph" w:styleId="NoSpacing">
    <w:name w:val="No Spacing"/>
    <w:uiPriority w:val="1"/>
    <w:qFormat/>
    <w:rsid w:val="00732D2B"/>
    <w:pPr>
      <w:spacing w:after="0" w:line="240" w:lineRule="auto"/>
    </w:pPr>
    <w:rPr>
      <w:sz w:val="24"/>
      <w:szCs w:val="24"/>
    </w:rPr>
  </w:style>
  <w:style w:type="paragraph" w:styleId="Header">
    <w:name w:val="header"/>
    <w:basedOn w:val="Normal"/>
    <w:link w:val="HeaderChar"/>
    <w:uiPriority w:val="99"/>
    <w:unhideWhenUsed/>
    <w:rsid w:val="00860C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C8E"/>
  </w:style>
  <w:style w:type="paragraph" w:styleId="Footer">
    <w:name w:val="footer"/>
    <w:basedOn w:val="Normal"/>
    <w:link w:val="FooterChar"/>
    <w:uiPriority w:val="99"/>
    <w:unhideWhenUsed/>
    <w:rsid w:val="00860C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C8E"/>
  </w:style>
  <w:style w:type="paragraph" w:styleId="BalloonText">
    <w:name w:val="Balloon Text"/>
    <w:basedOn w:val="Normal"/>
    <w:link w:val="BalloonTextChar"/>
    <w:uiPriority w:val="99"/>
    <w:semiHidden/>
    <w:unhideWhenUsed/>
    <w:rsid w:val="00FA5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6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4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4A0"/>
    <w:pPr>
      <w:ind w:left="720"/>
      <w:contextualSpacing/>
    </w:pPr>
  </w:style>
  <w:style w:type="paragraph" w:styleId="NoSpacing">
    <w:name w:val="No Spacing"/>
    <w:uiPriority w:val="1"/>
    <w:qFormat/>
    <w:rsid w:val="00732D2B"/>
    <w:pPr>
      <w:spacing w:after="0" w:line="240" w:lineRule="auto"/>
    </w:pPr>
    <w:rPr>
      <w:sz w:val="24"/>
      <w:szCs w:val="24"/>
    </w:rPr>
  </w:style>
  <w:style w:type="paragraph" w:styleId="Header">
    <w:name w:val="header"/>
    <w:basedOn w:val="Normal"/>
    <w:link w:val="HeaderChar"/>
    <w:uiPriority w:val="99"/>
    <w:unhideWhenUsed/>
    <w:rsid w:val="00860C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C8E"/>
  </w:style>
  <w:style w:type="paragraph" w:styleId="Footer">
    <w:name w:val="footer"/>
    <w:basedOn w:val="Normal"/>
    <w:link w:val="FooterChar"/>
    <w:uiPriority w:val="99"/>
    <w:unhideWhenUsed/>
    <w:rsid w:val="00860C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C8E"/>
  </w:style>
  <w:style w:type="paragraph" w:styleId="BalloonText">
    <w:name w:val="Balloon Text"/>
    <w:basedOn w:val="Normal"/>
    <w:link w:val="BalloonTextChar"/>
    <w:uiPriority w:val="99"/>
    <w:semiHidden/>
    <w:unhideWhenUsed/>
    <w:rsid w:val="00FA5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6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154967">
      <w:bodyDiv w:val="1"/>
      <w:marLeft w:val="0"/>
      <w:marRight w:val="0"/>
      <w:marTop w:val="0"/>
      <w:marBottom w:val="0"/>
      <w:divBdr>
        <w:top w:val="none" w:sz="0" w:space="0" w:color="auto"/>
        <w:left w:val="none" w:sz="0" w:space="0" w:color="auto"/>
        <w:bottom w:val="none" w:sz="0" w:space="0" w:color="auto"/>
        <w:right w:val="none" w:sz="0" w:space="0" w:color="auto"/>
      </w:divBdr>
    </w:div>
    <w:div w:id="155604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Essex</Company>
  <LinksUpToDate>false</LinksUpToDate>
  <CharactersWithSpaces>3222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Sunkin, Maurice S</dc:creator>
  <cp:lastModifiedBy>Sunkin, Maurice S</cp:lastModifiedBy>
  <cp:revision>3</cp:revision>
  <dcterms:created xsi:type="dcterms:W3CDTF">2018-03-06T16:18:00Z</dcterms:created>
  <dcterms:modified xsi:type="dcterms:W3CDTF">2018-03-07T12:24:00Z</dcterms:modified>
</cp:coreProperties>
</file>